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firstLine="880" w:firstLineChars="200"/>
        <w:outlineLvl w:val="9"/>
        <w:rPr>
          <w:color w:val="auto"/>
        </w:rPr>
      </w:pPr>
      <w:r>
        <w:rPr>
          <w:rFonts w:hint="eastAsia" w:ascii="方正小标宋简体" w:hAnsi="宋体" w:eastAsia="方正小标宋简体" w:cs="方正小标宋简体"/>
          <w:color w:val="auto"/>
          <w:sz w:val="44"/>
          <w:szCs w:val="44"/>
        </w:rPr>
        <w:t>紫阳县农村饮水安全工程项目申报指南</w:t>
      </w:r>
    </w:p>
    <w:p>
      <w:pPr>
        <w:keepNext w:val="0"/>
        <w:keepLines w:val="0"/>
        <w:pageBreakBefore w:val="0"/>
        <w:kinsoku/>
        <w:wordWrap/>
        <w:overflowPunct/>
        <w:topLinePunct w:val="0"/>
        <w:autoSpaceDE/>
        <w:autoSpaceDN/>
        <w:bidi w:val="0"/>
        <w:adjustRightInd/>
        <w:snapToGrid/>
        <w:spacing w:line="560" w:lineRule="exact"/>
        <w:jc w:val="center"/>
        <w:outlineLvl w:val="9"/>
        <w:rPr>
          <w:rFonts w:ascii="方正小标宋简体" w:eastAsia="方正小标宋简体"/>
          <w:color w:val="auto"/>
          <w:sz w:val="44"/>
          <w:szCs w:val="44"/>
        </w:rPr>
      </w:pP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ascii="仿宋_GB2312" w:eastAsia="仿宋_GB2312"/>
          <w:color w:val="auto"/>
          <w:sz w:val="32"/>
          <w:szCs w:val="32"/>
        </w:rPr>
      </w:pPr>
      <w:r>
        <w:rPr>
          <w:rFonts w:hint="eastAsia" w:ascii="仿宋_GB2312" w:hAnsi="宋体" w:eastAsia="仿宋_GB2312" w:cs="仿宋_GB2312"/>
          <w:color w:val="auto"/>
          <w:sz w:val="32"/>
          <w:szCs w:val="32"/>
        </w:rPr>
        <w:t>为切实做好脱贫攻坚成果巩固同乡村振兴有效衔接工作，加强全县农村饮水安全保障，结合我县实际，特制紫阳县农村饮水安全工程项目申报指南。</w:t>
      </w:r>
      <w:r>
        <w:rPr>
          <w:rFonts w:hint="eastAsia"/>
          <w:color w:val="auto"/>
        </w:rPr>
        <w:t xml:space="preserve"> </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left"/>
        <w:outlineLvl w:val="9"/>
        <w:rPr>
          <w:rFonts w:ascii="黑体" w:hAnsi="黑体" w:eastAsia="黑体"/>
          <w:color w:val="auto"/>
          <w:sz w:val="32"/>
          <w:szCs w:val="32"/>
        </w:rPr>
      </w:pPr>
      <w:r>
        <w:rPr>
          <w:rFonts w:hint="eastAsia" w:ascii="黑体" w:hAnsi="黑体" w:eastAsia="黑体" w:cs="黑体"/>
          <w:color w:val="auto"/>
          <w:sz w:val="32"/>
          <w:szCs w:val="32"/>
        </w:rPr>
        <w:t>申报范围</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存在水源水量、水质、方便程度、保证率达不到农村生活饮用水卫生评价指标体系的行政村。</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黑体" w:hAnsi="黑体" w:eastAsia="黑体"/>
          <w:color w:val="auto"/>
          <w:sz w:val="32"/>
          <w:szCs w:val="32"/>
        </w:rPr>
      </w:pPr>
      <w:r>
        <w:rPr>
          <w:rFonts w:hint="eastAsia" w:ascii="黑体" w:hAnsi="黑体" w:eastAsia="黑体" w:cs="黑体"/>
          <w:color w:val="auto"/>
          <w:sz w:val="32"/>
          <w:szCs w:val="32"/>
        </w:rPr>
        <w:t>二、政策依据</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紫阳县巩固拓展脱贫攻坚成果同乡村振兴有效衔接领导小组办公室关于转发《衔接资金项目管理操作指南（试行）》（紫巩固衔接办发〔</w:t>
      </w:r>
      <w:r>
        <w:rPr>
          <w:rFonts w:ascii="仿宋_GB2312" w:hAnsi="宋体" w:eastAsia="仿宋_GB2312" w:cs="仿宋_GB2312"/>
          <w:color w:val="auto"/>
          <w:sz w:val="32"/>
          <w:szCs w:val="32"/>
        </w:rPr>
        <w:t>202</w:t>
      </w:r>
      <w:r>
        <w:rPr>
          <w:rFonts w:hint="eastAsia" w:ascii="仿宋_GB2312" w:hAnsi="宋体" w:eastAsia="仿宋_GB2312" w:cs="仿宋_GB2312"/>
          <w:color w:val="auto"/>
          <w:sz w:val="32"/>
          <w:szCs w:val="32"/>
        </w:rPr>
        <w:t>2〕21号）为依据。</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黑体" w:hAnsi="黑体" w:eastAsia="黑体"/>
          <w:color w:val="auto"/>
          <w:sz w:val="32"/>
          <w:szCs w:val="32"/>
        </w:rPr>
      </w:pPr>
      <w:r>
        <w:rPr>
          <w:rFonts w:hint="eastAsia" w:ascii="黑体" w:hAnsi="黑体" w:eastAsia="黑体" w:cs="黑体"/>
          <w:color w:val="auto"/>
          <w:sz w:val="32"/>
          <w:szCs w:val="32"/>
        </w:rPr>
        <w:t>三、申报条件</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rPr>
        <w:t>、当地群众积极性高，村委会组织机构健全、具有较强的组织协调能力，能够承担工程建设期协调和工程建后运行管护责任的能力。</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ascii="仿宋_GB2312" w:hAnsi="宋体" w:eastAsia="仿宋_GB2312" w:cs="仿宋_GB2312"/>
          <w:color w:val="auto"/>
          <w:sz w:val="32"/>
          <w:szCs w:val="32"/>
        </w:rPr>
        <w:t>2</w:t>
      </w:r>
      <w:r>
        <w:rPr>
          <w:rFonts w:hint="eastAsia" w:ascii="仿宋_GB2312" w:hAnsi="宋体" w:eastAsia="仿宋_GB2312" w:cs="仿宋_GB2312"/>
          <w:color w:val="auto"/>
          <w:sz w:val="32"/>
          <w:szCs w:val="32"/>
        </w:rPr>
        <w:t>、当地水源水量有保证，能够无偿提供工程建设永久占地和临时占地。</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黑体" w:hAnsi="黑体" w:eastAsia="黑体"/>
          <w:color w:val="auto"/>
          <w:sz w:val="32"/>
          <w:szCs w:val="32"/>
        </w:rPr>
      </w:pPr>
      <w:r>
        <w:rPr>
          <w:rFonts w:hint="eastAsia" w:ascii="黑体" w:hAnsi="黑体" w:eastAsia="黑体" w:cs="黑体"/>
          <w:color w:val="auto"/>
          <w:sz w:val="32"/>
          <w:szCs w:val="32"/>
        </w:rPr>
        <w:t>四、申报程序</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（一）申报主体</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项目所在地乡镇人民政府、行政村。</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(二）申报程序</w:t>
      </w:r>
    </w:p>
    <w:p>
      <w:pPr>
        <w:pStyle w:val="7"/>
        <w:keepNext w:val="0"/>
        <w:keepLines w:val="0"/>
        <w:pageBreakBefore w:val="0"/>
        <w:kinsoku/>
        <w:wordWrap/>
        <w:overflowPunct/>
        <w:topLinePunct w:val="0"/>
        <w:autoSpaceDE/>
        <w:autoSpaceDN/>
        <w:bidi w:val="0"/>
        <w:adjustRightInd/>
        <w:snapToGrid/>
        <w:spacing w:line="560" w:lineRule="exact"/>
        <w:ind w:firstLine="64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1、村级申请</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村两委和驻村工作队长在认真分析本村饮水不安全因素、可利用水资源、资金保障和用水需求的基础上，组织召开村两委会或村民代表大会，广泛征求意见，提出立项意见，确定村级申报项目，并在村内予以公示后上报。上报材料需要提供所在村的基本情况</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包括村委名称、总土地面积、耕地面积、总人口、脱贫人口、脱贫户、是否脱贫村等基本情况。</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项目建设性质：指需要新建或对巳建成工程进行提升改造</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项目建设内容：指工程需要建设什么内容</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项目建设地点：指水源名称、沉淀过滤池、蓄水池的建设地点，地点必须落实到自然村的具体位置。</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估算投资：指工程建设所需的资金</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绩效目标申报：依据申报项目性质和内容，填写绩效申报表。</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受益户花名表：依据项目区覆盖且能受益的群众数量填写。</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公示公告：对项目进行村级公示，公示期不少于</w:t>
      </w:r>
      <w:r>
        <w:rPr>
          <w:rFonts w:ascii="仿宋_GB2312" w:hAnsi="宋体" w:eastAsia="仿宋_GB2312" w:cs="仿宋_GB2312"/>
          <w:color w:val="auto"/>
          <w:sz w:val="32"/>
          <w:szCs w:val="32"/>
        </w:rPr>
        <w:t>10</w:t>
      </w:r>
      <w:r>
        <w:rPr>
          <w:rFonts w:hint="eastAsia" w:ascii="仿宋_GB2312" w:hAnsi="宋体" w:eastAsia="仿宋_GB2312" w:cs="仿宋_GB2312"/>
          <w:color w:val="auto"/>
          <w:sz w:val="32"/>
          <w:szCs w:val="32"/>
        </w:rPr>
        <w:t>天，公示无异议后上报乡（镇）人民政府审核。</w:t>
      </w:r>
    </w:p>
    <w:tbl>
      <w:tblPr>
        <w:tblStyle w:val="6"/>
        <w:tblW w:w="88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90"/>
        <w:gridCol w:w="1768"/>
        <w:gridCol w:w="2265"/>
        <w:gridCol w:w="2062"/>
        <w:gridCol w:w="9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8860" w:type="dxa"/>
            <w:gridSpan w:val="5"/>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集中供水受益户花名册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88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center"/>
              <w:outlineLvl w:val="9"/>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1、项目概况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400" w:firstLineChars="200"/>
              <w:jc w:val="both"/>
              <w:textAlignment w:val="center"/>
              <w:outlineLvl w:val="9"/>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项目名称</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水源名称</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建设年度</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受益范围</w:t>
            </w:r>
          </w:p>
        </w:tc>
        <w:tc>
          <w:tcPr>
            <w:tcW w:w="3037"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受益</w:t>
            </w:r>
            <w:r>
              <w:rPr>
                <w:rFonts w:hint="eastAsia" w:ascii="宋体" w:hAnsi="宋体" w:cs="宋体"/>
                <w:i w:val="0"/>
                <w:iCs w:val="0"/>
                <w:color w:val="auto"/>
                <w:kern w:val="0"/>
                <w:sz w:val="20"/>
                <w:szCs w:val="20"/>
                <w:u w:val="none"/>
                <w:lang w:val="en-US" w:eastAsia="zh-CN" w:bidi="ar"/>
              </w:rPr>
              <w:t>总</w:t>
            </w:r>
            <w:r>
              <w:rPr>
                <w:rFonts w:hint="eastAsia" w:ascii="宋体" w:hAnsi="宋体" w:eastAsia="宋体" w:cs="宋体"/>
                <w:i w:val="0"/>
                <w:iCs w:val="0"/>
                <w:color w:val="auto"/>
                <w:kern w:val="0"/>
                <w:sz w:val="20"/>
                <w:szCs w:val="20"/>
                <w:u w:val="none"/>
                <w:lang w:val="en-US" w:eastAsia="zh-CN" w:bidi="ar"/>
              </w:rPr>
              <w:t>户数</w:t>
            </w:r>
          </w:p>
        </w:tc>
        <w:tc>
          <w:tcPr>
            <w:tcW w:w="176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受益</w:t>
            </w:r>
            <w:r>
              <w:rPr>
                <w:rFonts w:hint="eastAsia" w:ascii="宋体" w:hAnsi="宋体" w:cs="宋体"/>
                <w:i w:val="0"/>
                <w:iCs w:val="0"/>
                <w:color w:val="auto"/>
                <w:kern w:val="0"/>
                <w:sz w:val="20"/>
                <w:szCs w:val="20"/>
                <w:u w:val="none"/>
                <w:lang w:val="en-US" w:eastAsia="zh-CN" w:bidi="ar"/>
              </w:rPr>
              <w:t>总</w:t>
            </w:r>
            <w:r>
              <w:rPr>
                <w:rFonts w:hint="eastAsia" w:ascii="宋体" w:hAnsi="宋体" w:eastAsia="宋体" w:cs="宋体"/>
                <w:i w:val="0"/>
                <w:iCs w:val="0"/>
                <w:color w:val="auto"/>
                <w:kern w:val="0"/>
                <w:sz w:val="20"/>
                <w:szCs w:val="20"/>
                <w:u w:val="none"/>
                <w:lang w:val="en-US" w:eastAsia="zh-CN" w:bidi="ar"/>
              </w:rPr>
              <w:t>人口</w:t>
            </w:r>
          </w:p>
        </w:tc>
        <w:tc>
          <w:tcPr>
            <w:tcW w:w="3037"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受益脱贫户数</w:t>
            </w:r>
          </w:p>
        </w:tc>
        <w:tc>
          <w:tcPr>
            <w:tcW w:w="176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受益脱贫人口</w:t>
            </w:r>
          </w:p>
        </w:tc>
        <w:tc>
          <w:tcPr>
            <w:tcW w:w="3037"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88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center"/>
              <w:outlineLvl w:val="9"/>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2、受益户花名册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序号</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户主姓名</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家庭人口</w:t>
            </w:r>
          </w:p>
        </w:tc>
        <w:tc>
          <w:tcPr>
            <w:tcW w:w="20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是否脱贫户</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2"/>
                <w:szCs w:val="22"/>
                <w:u w:val="none"/>
              </w:rPr>
            </w:pP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c>
          <w:tcPr>
            <w:tcW w:w="20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2"/>
                <w:szCs w:val="22"/>
                <w:u w:val="none"/>
              </w:rPr>
            </w:pP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c>
          <w:tcPr>
            <w:tcW w:w="226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c>
          <w:tcPr>
            <w:tcW w:w="20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宋体" w:hAnsi="宋体" w:eastAsia="宋体" w:cs="宋体"/>
                <w:i w:val="0"/>
                <w:iCs w:val="0"/>
                <w:color w:val="auto"/>
                <w:sz w:val="20"/>
                <w:szCs w:val="20"/>
                <w:u w:val="none"/>
              </w:rPr>
            </w:pPr>
          </w:p>
        </w:tc>
      </w:tr>
    </w:tbl>
    <w:p>
      <w:pPr>
        <w:pStyle w:val="7"/>
        <w:keepNext w:val="0"/>
        <w:keepLines w:val="0"/>
        <w:pageBreakBefore w:val="0"/>
        <w:kinsoku/>
        <w:wordWrap/>
        <w:overflowPunct/>
        <w:topLinePunct w:val="0"/>
        <w:autoSpaceDE/>
        <w:autoSpaceDN/>
        <w:bidi w:val="0"/>
        <w:adjustRightInd/>
        <w:snapToGrid/>
        <w:spacing w:line="560" w:lineRule="exact"/>
        <w:ind w:left="0" w:leftChars="0"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2、乡（镇）审核</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乡镇要对申报项目的真实性、必要性、可行性以及内容、资金概算、预期效益、脱贫群众参与情况和带贫机制等进行申核，审核后在乡镇公示，经公示无异议，报县行业主管部门。</w:t>
      </w:r>
    </w:p>
    <w:p>
      <w:pPr>
        <w:pStyle w:val="7"/>
        <w:keepNext w:val="0"/>
        <w:keepLines w:val="0"/>
        <w:pageBreakBefore w:val="0"/>
        <w:kinsoku/>
        <w:wordWrap/>
        <w:overflowPunct/>
        <w:topLinePunct w:val="0"/>
        <w:autoSpaceDE/>
        <w:autoSpaceDN/>
        <w:bidi w:val="0"/>
        <w:adjustRightInd/>
        <w:snapToGrid/>
        <w:spacing w:line="560" w:lineRule="exact"/>
        <w:ind w:firstLine="64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3、行业主管部门复核</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行业主管部门要对乡镇报送项目的科学性、合规性、可行性进行论证，并对绩效目标初审，将符合条件的项目报送县乡村振兴部门。</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黑体" w:hAnsi="黑体" w:eastAsia="黑体"/>
          <w:color w:val="auto"/>
          <w:sz w:val="32"/>
          <w:szCs w:val="32"/>
        </w:rPr>
      </w:pPr>
      <w:r>
        <w:rPr>
          <w:rFonts w:hint="eastAsia" w:ascii="黑体" w:hAnsi="黑体" w:eastAsia="黑体" w:cs="黑体"/>
          <w:color w:val="auto"/>
          <w:sz w:val="32"/>
          <w:szCs w:val="32"/>
        </w:rPr>
        <w:t>五、项目编制</w:t>
      </w:r>
    </w:p>
    <w:p>
      <w:pPr>
        <w:keepNext w:val="0"/>
        <w:keepLines w:val="0"/>
        <w:pageBreakBefore w:val="0"/>
        <w:kinsoku/>
        <w:wordWrap/>
        <w:overflowPunct/>
        <w:topLinePunct w:val="0"/>
        <w:autoSpaceDE/>
        <w:autoSpaceDN/>
        <w:bidi w:val="0"/>
        <w:adjustRightInd/>
        <w:snapToGrid/>
        <w:spacing w:line="560" w:lineRule="exact"/>
        <w:ind w:firstLine="643" w:firstLineChars="200"/>
        <w:jc w:val="left"/>
        <w:outlineLvl w:val="9"/>
        <w:rPr>
          <w:rFonts w:ascii="仿宋_GB2312" w:eastAsia="仿宋_GB2312"/>
          <w:b/>
          <w:bCs/>
          <w:color w:val="auto"/>
          <w:sz w:val="32"/>
          <w:szCs w:val="32"/>
        </w:rPr>
      </w:pPr>
      <w:r>
        <w:rPr>
          <w:rFonts w:ascii="仿宋_GB2312" w:hAnsi="宋体" w:eastAsia="仿宋_GB2312" w:cs="仿宋_GB2312"/>
          <w:b/>
          <w:bCs/>
          <w:color w:val="auto"/>
          <w:sz w:val="32"/>
          <w:szCs w:val="32"/>
        </w:rPr>
        <w:t>1</w:t>
      </w:r>
      <w:r>
        <w:rPr>
          <w:rFonts w:hint="eastAsia" w:ascii="仿宋_GB2312" w:hAnsi="宋体" w:eastAsia="仿宋_GB2312" w:cs="仿宋_GB2312"/>
          <w:b/>
          <w:bCs/>
          <w:color w:val="auto"/>
          <w:sz w:val="32"/>
          <w:szCs w:val="32"/>
        </w:rPr>
        <w:t>、项目类型</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w:t>
      </w: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rPr>
        <w:t>）由于暴雨、泥石流等自然因素造成的饮水不安全问题。</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项目名称：</w:t>
      </w:r>
      <w:r>
        <w:rPr>
          <w:rFonts w:ascii="仿宋_GB2312" w:hAnsi="宋体" w:eastAsia="仿宋_GB2312" w:cs="仿宋_GB2312"/>
          <w:color w:val="auto"/>
          <w:sz w:val="32"/>
          <w:szCs w:val="32"/>
        </w:rPr>
        <w:t>XX</w:t>
      </w:r>
      <w:r>
        <w:rPr>
          <w:rFonts w:hint="eastAsia" w:ascii="仿宋_GB2312" w:hAnsi="宋体" w:eastAsia="仿宋_GB2312" w:cs="仿宋_GB2312"/>
          <w:color w:val="auto"/>
          <w:sz w:val="32"/>
          <w:szCs w:val="32"/>
        </w:rPr>
        <w:t>镇</w:t>
      </w:r>
      <w:r>
        <w:rPr>
          <w:rFonts w:ascii="仿宋_GB2312" w:hAnsi="宋体" w:eastAsia="仿宋_GB2312" w:cs="仿宋_GB2312"/>
          <w:color w:val="auto"/>
          <w:sz w:val="32"/>
          <w:szCs w:val="32"/>
        </w:rPr>
        <w:t>XX</w:t>
      </w:r>
      <w:r>
        <w:rPr>
          <w:rFonts w:hint="eastAsia" w:ascii="仿宋_GB2312" w:hAnsi="宋体" w:eastAsia="仿宋_GB2312" w:cs="仿宋_GB2312"/>
          <w:color w:val="auto"/>
          <w:sz w:val="32"/>
          <w:szCs w:val="32"/>
        </w:rPr>
        <w:t>村</w:t>
      </w:r>
      <w:r>
        <w:rPr>
          <w:rFonts w:ascii="仿宋_GB2312" w:hAnsi="宋体" w:eastAsia="仿宋_GB2312" w:cs="仿宋_GB2312"/>
          <w:color w:val="auto"/>
          <w:sz w:val="32"/>
          <w:szCs w:val="32"/>
        </w:rPr>
        <w:t>XX</w:t>
      </w:r>
      <w:r>
        <w:rPr>
          <w:rFonts w:hint="eastAsia" w:ascii="仿宋_GB2312" w:hAnsi="宋体" w:eastAsia="仿宋_GB2312" w:cs="仿宋_GB2312"/>
          <w:color w:val="auto"/>
          <w:sz w:val="32"/>
          <w:szCs w:val="32"/>
        </w:rPr>
        <w:t>组饮水水毁修复工程</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w:t>
      </w:r>
      <w:r>
        <w:rPr>
          <w:rFonts w:ascii="仿宋_GB2312" w:hAnsi="宋体" w:eastAsia="仿宋_GB2312" w:cs="仿宋_GB2312"/>
          <w:color w:val="auto"/>
          <w:sz w:val="32"/>
          <w:szCs w:val="32"/>
        </w:rPr>
        <w:t>2</w:t>
      </w:r>
      <w:r>
        <w:rPr>
          <w:rFonts w:hint="eastAsia" w:ascii="仿宋_GB2312" w:hAnsi="宋体" w:eastAsia="仿宋_GB2312" w:cs="仿宋_GB2312"/>
          <w:color w:val="auto"/>
          <w:sz w:val="32"/>
          <w:szCs w:val="32"/>
        </w:rPr>
        <w:t>）由于水源污染、季节性缺水、饮水设施老旧、无过滤消毒设施等因素造成的饮水不安全问题。</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项目名称：</w:t>
      </w:r>
      <w:r>
        <w:rPr>
          <w:rFonts w:ascii="仿宋_GB2312" w:hAnsi="宋体" w:eastAsia="仿宋_GB2312" w:cs="仿宋_GB2312"/>
          <w:color w:val="auto"/>
          <w:sz w:val="32"/>
          <w:szCs w:val="32"/>
        </w:rPr>
        <w:t>XX</w:t>
      </w:r>
      <w:r>
        <w:rPr>
          <w:rFonts w:hint="eastAsia" w:ascii="仿宋_GB2312" w:hAnsi="宋体" w:eastAsia="仿宋_GB2312" w:cs="仿宋_GB2312"/>
          <w:color w:val="auto"/>
          <w:sz w:val="32"/>
          <w:szCs w:val="32"/>
        </w:rPr>
        <w:t>镇</w:t>
      </w:r>
      <w:r>
        <w:rPr>
          <w:rFonts w:ascii="仿宋_GB2312" w:hAnsi="宋体" w:eastAsia="仿宋_GB2312" w:cs="仿宋_GB2312"/>
          <w:color w:val="auto"/>
          <w:sz w:val="32"/>
          <w:szCs w:val="32"/>
        </w:rPr>
        <w:t>XX</w:t>
      </w:r>
      <w:r>
        <w:rPr>
          <w:rFonts w:hint="eastAsia" w:ascii="仿宋_GB2312" w:hAnsi="宋体" w:eastAsia="仿宋_GB2312" w:cs="仿宋_GB2312"/>
          <w:color w:val="auto"/>
          <w:sz w:val="32"/>
          <w:szCs w:val="32"/>
        </w:rPr>
        <w:t>村</w:t>
      </w:r>
      <w:r>
        <w:rPr>
          <w:rFonts w:ascii="仿宋_GB2312" w:hAnsi="宋体" w:eastAsia="仿宋_GB2312" w:cs="仿宋_GB2312"/>
          <w:color w:val="auto"/>
          <w:sz w:val="32"/>
          <w:szCs w:val="32"/>
        </w:rPr>
        <w:t>XX</w:t>
      </w:r>
      <w:r>
        <w:rPr>
          <w:rFonts w:hint="eastAsia" w:ascii="仿宋_GB2312" w:hAnsi="宋体" w:eastAsia="仿宋_GB2312" w:cs="仿宋_GB2312"/>
          <w:color w:val="auto"/>
          <w:sz w:val="32"/>
          <w:szCs w:val="32"/>
        </w:rPr>
        <w:t>组饮水巩固提升工程</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3" w:firstLineChars="200"/>
        <w:jc w:val="left"/>
        <w:outlineLvl w:val="9"/>
        <w:rPr>
          <w:rFonts w:ascii="仿宋_GB2312" w:eastAsia="仿宋_GB2312"/>
          <w:b/>
          <w:bCs/>
          <w:color w:val="auto"/>
          <w:sz w:val="32"/>
          <w:szCs w:val="32"/>
        </w:rPr>
      </w:pPr>
      <w:r>
        <w:rPr>
          <w:rFonts w:hint="eastAsia" w:ascii="仿宋_GB2312" w:hAnsi="宋体" w:eastAsia="仿宋_GB2312" w:cs="仿宋_GB2312"/>
          <w:b/>
          <w:bCs/>
          <w:color w:val="auto"/>
          <w:sz w:val="32"/>
          <w:szCs w:val="32"/>
        </w:rPr>
        <w:t>项目建设内容</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按照受益人口确定蓄水规模及管径大小。</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生活用水的定额：</w:t>
      </w:r>
      <w:r>
        <w:rPr>
          <w:rFonts w:ascii="仿宋_GB2312" w:hAnsi="宋体" w:eastAsia="仿宋_GB2312" w:cs="仿宋_GB2312"/>
          <w:color w:val="auto"/>
          <w:sz w:val="32"/>
          <w:szCs w:val="32"/>
        </w:rPr>
        <w:t>100L/</w:t>
      </w:r>
      <w:r>
        <w:rPr>
          <w:rFonts w:hint="eastAsia" w:ascii="仿宋_GB2312" w:hAnsi="宋体" w:eastAsia="仿宋_GB2312" w:cs="仿宋_GB2312"/>
          <w:color w:val="auto"/>
          <w:sz w:val="32"/>
          <w:szCs w:val="32"/>
        </w:rPr>
        <w:t>（人</w:t>
      </w:r>
      <w:r>
        <w:rPr>
          <w:rFonts w:hint="eastAsia" w:ascii="仿宋_GB2312" w:hAnsi="宋体" w:cs="宋体"/>
          <w:color w:val="auto"/>
          <w:sz w:val="32"/>
          <w:szCs w:val="32"/>
        </w:rPr>
        <w:t>﹡</w:t>
      </w:r>
      <w:r>
        <w:rPr>
          <w:rFonts w:hint="eastAsia" w:ascii="仿宋_GB2312" w:hAnsi="宋体" w:eastAsia="仿宋_GB2312" w:cs="仿宋_GB2312"/>
          <w:color w:val="auto"/>
          <w:sz w:val="32"/>
          <w:szCs w:val="32"/>
        </w:rPr>
        <w:t>天）（村镇供水工程技术规范）</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例如：受益人口80人，居民生活用水量：80</w:t>
      </w:r>
      <w:r>
        <w:rPr>
          <w:rFonts w:ascii="仿宋_GB2312" w:hAnsi="宋体" w:eastAsia="仿宋_GB2312" w:cs="仿宋_GB2312"/>
          <w:color w:val="auto"/>
          <w:sz w:val="32"/>
          <w:szCs w:val="32"/>
        </w:rPr>
        <w:t>*100/1000=</w:t>
      </w:r>
      <w:r>
        <w:rPr>
          <w:rFonts w:hint="eastAsia" w:ascii="仿宋_GB2312" w:hAnsi="宋体" w:eastAsia="仿宋_GB2312" w:cs="仿宋_GB2312"/>
          <w:color w:val="auto"/>
          <w:sz w:val="32"/>
          <w:szCs w:val="32"/>
        </w:rPr>
        <w:t>8</w:t>
      </w:r>
      <w:r>
        <w:rPr>
          <w:rFonts w:ascii="仿宋_GB2312" w:hAnsi="宋体" w:eastAsia="仿宋_GB2312" w:cs="仿宋_GB2312"/>
          <w:color w:val="auto"/>
          <w:sz w:val="32"/>
          <w:szCs w:val="32"/>
        </w:rPr>
        <w:t>m</w:t>
      </w:r>
      <w:r>
        <w:rPr>
          <w:rFonts w:ascii="仿宋_GB2312" w:hAnsi="宋体" w:eastAsia="仿宋_GB2312" w:cs="仿宋_GB2312"/>
          <w:color w:val="auto"/>
          <w:sz w:val="32"/>
          <w:szCs w:val="32"/>
          <w:vertAlign w:val="superscript"/>
        </w:rPr>
        <w:t>3</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选用储水构筑物为10</w:t>
      </w:r>
      <w:r>
        <w:rPr>
          <w:rFonts w:ascii="仿宋_GB2312" w:hAnsi="宋体" w:eastAsia="仿宋_GB2312" w:cs="仿宋_GB2312"/>
          <w:color w:val="auto"/>
          <w:sz w:val="32"/>
          <w:szCs w:val="32"/>
        </w:rPr>
        <w:t>m</w:t>
      </w:r>
      <w:r>
        <w:rPr>
          <w:rFonts w:ascii="仿宋_GB2312" w:hAnsi="宋体" w:eastAsia="仿宋_GB2312" w:cs="仿宋_GB2312"/>
          <w:color w:val="auto"/>
          <w:sz w:val="32"/>
          <w:szCs w:val="32"/>
          <w:vertAlign w:val="superscript"/>
        </w:rPr>
        <w:t>3</w:t>
      </w:r>
      <w:r>
        <w:rPr>
          <w:rFonts w:hint="eastAsia" w:ascii="仿宋_GB2312" w:hAnsi="宋体" w:eastAsia="仿宋_GB2312" w:cs="仿宋_GB2312"/>
          <w:color w:val="auto"/>
          <w:sz w:val="32"/>
          <w:szCs w:val="32"/>
        </w:rPr>
        <w:t>蓄水池</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管径大小选择（村镇供水工程技术规范）</w:t>
      </w:r>
    </w:p>
    <w:p>
      <w:pPr>
        <w:keepNext w:val="0"/>
        <w:keepLines w:val="0"/>
        <w:pageBreakBefore w:val="0"/>
        <w:kinsoku/>
        <w:wordWrap/>
        <w:overflowPunct/>
        <w:topLinePunct w:val="0"/>
        <w:autoSpaceDE/>
        <w:autoSpaceDN/>
        <w:bidi w:val="0"/>
        <w:adjustRightInd/>
        <w:snapToGrid/>
        <w:spacing w:line="560" w:lineRule="exact"/>
        <w:ind w:firstLine="2880" w:firstLineChars="900"/>
        <w:outlineLvl w:val="9"/>
        <w:rPr>
          <w:rFonts w:ascii="仿宋_GB2312" w:eastAsia="仿宋_GB2312"/>
          <w:color w:val="auto"/>
          <w:sz w:val="32"/>
          <w:szCs w:val="32"/>
        </w:rPr>
      </w:pPr>
      <w:r>
        <w:rPr>
          <w:rFonts w:hint="eastAsia" w:ascii="仿宋_GB2312" w:hAnsi="宋体" w:eastAsia="仿宋_GB2312" w:cs="仿宋_GB2312"/>
          <w:color w:val="auto"/>
          <w:sz w:val="32"/>
          <w:szCs w:val="32"/>
        </w:rPr>
        <w:t>不同管径的控制供水户数</w:t>
      </w:r>
    </w:p>
    <w:tbl>
      <w:tblPr>
        <w:tblStyle w:val="6"/>
        <w:tblW w:w="93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1179"/>
        <w:gridCol w:w="1046"/>
        <w:gridCol w:w="987"/>
        <w:gridCol w:w="855"/>
        <w:gridCol w:w="884"/>
        <w:gridCol w:w="899"/>
        <w:gridCol w:w="855"/>
        <w:gridCol w:w="790"/>
        <w:gridCol w:w="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04" w:type="dxa"/>
            <w:vAlign w:val="center"/>
          </w:tcPr>
          <w:p>
            <w:pPr>
              <w:keepNext w:val="0"/>
              <w:keepLines w:val="0"/>
              <w:pageBreakBefore w:val="0"/>
              <w:kinsoku/>
              <w:wordWrap/>
              <w:overflowPunct/>
              <w:topLinePunct w:val="0"/>
              <w:autoSpaceDE/>
              <w:autoSpaceDN/>
              <w:bidi w:val="0"/>
              <w:adjustRightInd/>
              <w:snapToGrid/>
              <w:spacing w:line="560" w:lineRule="exact"/>
              <w:outlineLvl w:val="9"/>
              <w:rPr>
                <w:rFonts w:ascii="仿宋_GB2312" w:eastAsia="仿宋_GB2312"/>
                <w:color w:val="auto"/>
              </w:rPr>
            </w:pPr>
            <w:r>
              <w:rPr>
                <w:rFonts w:hint="eastAsia" w:ascii="仿宋_GB2312" w:hAnsi="宋体" w:eastAsia="仿宋_GB2312" w:cs="仿宋_GB2312"/>
                <w:color w:val="auto"/>
              </w:rPr>
              <w:t>管径</w:t>
            </w:r>
            <w:r>
              <w:rPr>
                <w:rFonts w:ascii="仿宋_GB2312" w:hAnsi="宋体" w:eastAsia="仿宋_GB2312" w:cs="仿宋_GB2312"/>
                <w:color w:val="auto"/>
              </w:rPr>
              <w:t>/mm</w:t>
            </w:r>
          </w:p>
        </w:tc>
        <w:tc>
          <w:tcPr>
            <w:tcW w:w="1179" w:type="dxa"/>
            <w:vAlign w:val="center"/>
          </w:tcPr>
          <w:p>
            <w:pPr>
              <w:keepNext w:val="0"/>
              <w:keepLines w:val="0"/>
              <w:pageBreakBefore w:val="0"/>
              <w:kinsoku/>
              <w:wordWrap/>
              <w:overflowPunct/>
              <w:topLinePunct w:val="0"/>
              <w:autoSpaceDE/>
              <w:autoSpaceDN/>
              <w:bidi w:val="0"/>
              <w:adjustRightInd/>
              <w:snapToGrid/>
              <w:spacing w:line="560" w:lineRule="exact"/>
              <w:ind w:firstLine="420" w:firstLineChars="200"/>
              <w:outlineLvl w:val="9"/>
              <w:rPr>
                <w:rFonts w:ascii="仿宋_GB2312" w:hAnsi="宋体" w:eastAsia="仿宋_GB2312" w:cs="仿宋_GB2312"/>
                <w:color w:val="auto"/>
              </w:rPr>
            </w:pPr>
            <w:r>
              <w:rPr>
                <w:rFonts w:hint="eastAsia" w:ascii="仿宋_GB2312" w:hAnsi="宋体" w:eastAsia="仿宋_GB2312" w:cs="仿宋_GB2312"/>
                <w:color w:val="auto"/>
              </w:rPr>
              <w:t>110</w:t>
            </w:r>
          </w:p>
        </w:tc>
        <w:tc>
          <w:tcPr>
            <w:tcW w:w="1046" w:type="dxa"/>
            <w:vAlign w:val="center"/>
          </w:tcPr>
          <w:p>
            <w:pPr>
              <w:keepNext w:val="0"/>
              <w:keepLines w:val="0"/>
              <w:pageBreakBefore w:val="0"/>
              <w:kinsoku/>
              <w:wordWrap/>
              <w:overflowPunct/>
              <w:topLinePunct w:val="0"/>
              <w:autoSpaceDE/>
              <w:autoSpaceDN/>
              <w:bidi w:val="0"/>
              <w:adjustRightInd/>
              <w:snapToGrid/>
              <w:spacing w:line="560" w:lineRule="exact"/>
              <w:ind w:firstLine="420" w:firstLineChars="200"/>
              <w:jc w:val="left"/>
              <w:outlineLvl w:val="9"/>
              <w:rPr>
                <w:rFonts w:ascii="仿宋_GB2312" w:hAnsi="宋体" w:eastAsia="仿宋_GB2312" w:cs="仿宋_GB2312"/>
                <w:color w:val="auto"/>
              </w:rPr>
            </w:pPr>
            <w:r>
              <w:rPr>
                <w:rFonts w:hint="eastAsia" w:ascii="仿宋_GB2312" w:hAnsi="宋体" w:eastAsia="仿宋_GB2312" w:cs="仿宋_GB2312"/>
                <w:color w:val="auto"/>
              </w:rPr>
              <w:t>90</w:t>
            </w:r>
          </w:p>
        </w:tc>
        <w:tc>
          <w:tcPr>
            <w:tcW w:w="987" w:type="dxa"/>
            <w:vAlign w:val="center"/>
          </w:tcPr>
          <w:p>
            <w:pPr>
              <w:keepNext w:val="0"/>
              <w:keepLines w:val="0"/>
              <w:pageBreakBefore w:val="0"/>
              <w:kinsoku/>
              <w:wordWrap/>
              <w:overflowPunct/>
              <w:topLinePunct w:val="0"/>
              <w:autoSpaceDE/>
              <w:autoSpaceDN/>
              <w:bidi w:val="0"/>
              <w:adjustRightInd/>
              <w:snapToGrid/>
              <w:spacing w:line="560" w:lineRule="exact"/>
              <w:ind w:firstLine="210" w:firstLineChars="100"/>
              <w:jc w:val="left"/>
              <w:outlineLvl w:val="9"/>
              <w:rPr>
                <w:rFonts w:ascii="仿宋_GB2312" w:eastAsia="仿宋_GB2312"/>
                <w:color w:val="auto"/>
              </w:rPr>
            </w:pPr>
            <w:r>
              <w:rPr>
                <w:rFonts w:ascii="仿宋_GB2312" w:hAnsi="宋体" w:eastAsia="仿宋_GB2312" w:cs="仿宋_GB2312"/>
                <w:color w:val="auto"/>
              </w:rPr>
              <w:t>75</w:t>
            </w:r>
          </w:p>
        </w:tc>
        <w:tc>
          <w:tcPr>
            <w:tcW w:w="855" w:type="dxa"/>
            <w:vAlign w:val="center"/>
          </w:tcPr>
          <w:p>
            <w:pPr>
              <w:keepNext w:val="0"/>
              <w:keepLines w:val="0"/>
              <w:pageBreakBefore w:val="0"/>
              <w:kinsoku/>
              <w:wordWrap/>
              <w:overflowPunct/>
              <w:topLinePunct w:val="0"/>
              <w:autoSpaceDE/>
              <w:autoSpaceDN/>
              <w:bidi w:val="0"/>
              <w:adjustRightInd/>
              <w:snapToGrid/>
              <w:spacing w:line="560" w:lineRule="exact"/>
              <w:ind w:firstLine="210" w:firstLineChars="100"/>
              <w:jc w:val="left"/>
              <w:outlineLvl w:val="9"/>
              <w:rPr>
                <w:rFonts w:ascii="仿宋_GB2312" w:eastAsia="仿宋_GB2312"/>
                <w:color w:val="auto"/>
              </w:rPr>
            </w:pPr>
            <w:r>
              <w:rPr>
                <w:rFonts w:ascii="仿宋_GB2312" w:hAnsi="宋体" w:eastAsia="仿宋_GB2312" w:cs="仿宋_GB2312"/>
                <w:color w:val="auto"/>
              </w:rPr>
              <w:t>63</w:t>
            </w:r>
          </w:p>
        </w:tc>
        <w:tc>
          <w:tcPr>
            <w:tcW w:w="884" w:type="dxa"/>
            <w:vAlign w:val="center"/>
          </w:tcPr>
          <w:p>
            <w:pPr>
              <w:keepNext w:val="0"/>
              <w:keepLines w:val="0"/>
              <w:pageBreakBefore w:val="0"/>
              <w:kinsoku/>
              <w:wordWrap/>
              <w:overflowPunct/>
              <w:topLinePunct w:val="0"/>
              <w:autoSpaceDE/>
              <w:autoSpaceDN/>
              <w:bidi w:val="0"/>
              <w:adjustRightInd/>
              <w:snapToGrid/>
              <w:spacing w:line="560" w:lineRule="exact"/>
              <w:ind w:firstLine="210" w:firstLineChars="100"/>
              <w:jc w:val="left"/>
              <w:outlineLvl w:val="9"/>
              <w:rPr>
                <w:rFonts w:ascii="仿宋_GB2312" w:eastAsia="仿宋_GB2312"/>
                <w:color w:val="auto"/>
              </w:rPr>
            </w:pPr>
            <w:r>
              <w:rPr>
                <w:rFonts w:ascii="仿宋_GB2312" w:hAnsi="宋体" w:eastAsia="仿宋_GB2312" w:cs="仿宋_GB2312"/>
                <w:color w:val="auto"/>
              </w:rPr>
              <w:t>50</w:t>
            </w:r>
          </w:p>
        </w:tc>
        <w:tc>
          <w:tcPr>
            <w:tcW w:w="899" w:type="dxa"/>
            <w:vAlign w:val="center"/>
          </w:tcPr>
          <w:p>
            <w:pPr>
              <w:keepNext w:val="0"/>
              <w:keepLines w:val="0"/>
              <w:pageBreakBefore w:val="0"/>
              <w:kinsoku/>
              <w:wordWrap/>
              <w:overflowPunct/>
              <w:topLinePunct w:val="0"/>
              <w:autoSpaceDE/>
              <w:autoSpaceDN/>
              <w:bidi w:val="0"/>
              <w:adjustRightInd/>
              <w:snapToGrid/>
              <w:spacing w:line="560" w:lineRule="exact"/>
              <w:ind w:firstLine="210" w:firstLineChars="100"/>
              <w:jc w:val="left"/>
              <w:outlineLvl w:val="9"/>
              <w:rPr>
                <w:rFonts w:ascii="仿宋_GB2312" w:eastAsia="仿宋_GB2312"/>
                <w:color w:val="auto"/>
              </w:rPr>
            </w:pPr>
            <w:r>
              <w:rPr>
                <w:rFonts w:ascii="仿宋_GB2312" w:hAnsi="宋体" w:eastAsia="仿宋_GB2312" w:cs="仿宋_GB2312"/>
                <w:color w:val="auto"/>
              </w:rPr>
              <w:t>40</w:t>
            </w:r>
          </w:p>
        </w:tc>
        <w:tc>
          <w:tcPr>
            <w:tcW w:w="855" w:type="dxa"/>
            <w:vAlign w:val="center"/>
          </w:tcPr>
          <w:p>
            <w:pPr>
              <w:keepNext w:val="0"/>
              <w:keepLines w:val="0"/>
              <w:pageBreakBefore w:val="0"/>
              <w:kinsoku/>
              <w:wordWrap/>
              <w:overflowPunct/>
              <w:topLinePunct w:val="0"/>
              <w:autoSpaceDE/>
              <w:autoSpaceDN/>
              <w:bidi w:val="0"/>
              <w:adjustRightInd/>
              <w:snapToGrid/>
              <w:spacing w:line="560" w:lineRule="exact"/>
              <w:ind w:firstLine="210" w:firstLineChars="100"/>
              <w:jc w:val="left"/>
              <w:outlineLvl w:val="9"/>
              <w:rPr>
                <w:rFonts w:ascii="仿宋_GB2312" w:eastAsia="仿宋_GB2312"/>
                <w:color w:val="auto"/>
              </w:rPr>
            </w:pPr>
            <w:r>
              <w:rPr>
                <w:rFonts w:ascii="仿宋_GB2312" w:hAnsi="宋体" w:eastAsia="仿宋_GB2312" w:cs="仿宋_GB2312"/>
                <w:color w:val="auto"/>
              </w:rPr>
              <w:t>32</w:t>
            </w:r>
          </w:p>
        </w:tc>
        <w:tc>
          <w:tcPr>
            <w:tcW w:w="790" w:type="dxa"/>
            <w:vAlign w:val="center"/>
          </w:tcPr>
          <w:p>
            <w:pPr>
              <w:keepNext w:val="0"/>
              <w:keepLines w:val="0"/>
              <w:pageBreakBefore w:val="0"/>
              <w:kinsoku/>
              <w:wordWrap/>
              <w:overflowPunct/>
              <w:topLinePunct w:val="0"/>
              <w:autoSpaceDE/>
              <w:autoSpaceDN/>
              <w:bidi w:val="0"/>
              <w:adjustRightInd/>
              <w:snapToGrid/>
              <w:spacing w:line="560" w:lineRule="exact"/>
              <w:ind w:firstLine="210" w:firstLineChars="100"/>
              <w:jc w:val="left"/>
              <w:outlineLvl w:val="9"/>
              <w:rPr>
                <w:rFonts w:ascii="仿宋_GB2312" w:eastAsia="仿宋_GB2312"/>
                <w:color w:val="auto"/>
              </w:rPr>
            </w:pPr>
            <w:r>
              <w:rPr>
                <w:rFonts w:ascii="仿宋_GB2312" w:hAnsi="宋体" w:eastAsia="仿宋_GB2312" w:cs="仿宋_GB2312"/>
                <w:color w:val="auto"/>
              </w:rPr>
              <w:t>25</w:t>
            </w:r>
          </w:p>
        </w:tc>
        <w:tc>
          <w:tcPr>
            <w:tcW w:w="737" w:type="dxa"/>
            <w:vAlign w:val="center"/>
          </w:tcPr>
          <w:p>
            <w:pPr>
              <w:keepNext w:val="0"/>
              <w:keepLines w:val="0"/>
              <w:pageBreakBefore w:val="0"/>
              <w:kinsoku/>
              <w:wordWrap/>
              <w:overflowPunct/>
              <w:topLinePunct w:val="0"/>
              <w:autoSpaceDE/>
              <w:autoSpaceDN/>
              <w:bidi w:val="0"/>
              <w:adjustRightInd/>
              <w:snapToGrid/>
              <w:spacing w:line="560" w:lineRule="exact"/>
              <w:ind w:firstLine="210" w:firstLineChars="100"/>
              <w:jc w:val="left"/>
              <w:outlineLvl w:val="9"/>
              <w:rPr>
                <w:rFonts w:ascii="仿宋_GB2312" w:eastAsia="仿宋_GB2312"/>
                <w:color w:val="auto"/>
              </w:rPr>
            </w:pPr>
            <w:r>
              <w:rPr>
                <w:rFonts w:ascii="仿宋_GB2312" w:hAnsi="宋体" w:eastAsia="仿宋_GB2312" w:cs="仿宋_GB2312"/>
                <w:color w:val="auto"/>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04" w:type="dxa"/>
            <w:vAlign w:val="center"/>
          </w:tcPr>
          <w:p>
            <w:pPr>
              <w:keepNext w:val="0"/>
              <w:keepLines w:val="0"/>
              <w:pageBreakBefore w:val="0"/>
              <w:kinsoku/>
              <w:wordWrap/>
              <w:overflowPunct/>
              <w:topLinePunct w:val="0"/>
              <w:autoSpaceDE/>
              <w:autoSpaceDN/>
              <w:bidi w:val="0"/>
              <w:adjustRightInd/>
              <w:snapToGrid/>
              <w:spacing w:line="560" w:lineRule="exact"/>
              <w:outlineLvl w:val="9"/>
              <w:rPr>
                <w:rFonts w:ascii="仿宋_GB2312" w:eastAsia="仿宋_GB2312"/>
                <w:color w:val="auto"/>
              </w:rPr>
            </w:pPr>
            <w:r>
              <w:rPr>
                <w:rFonts w:hint="eastAsia" w:ascii="仿宋_GB2312" w:hAnsi="宋体" w:eastAsia="仿宋_GB2312" w:cs="仿宋_GB2312"/>
                <w:color w:val="auto"/>
              </w:rPr>
              <w:t>控制供水户数</w:t>
            </w:r>
            <w:r>
              <w:rPr>
                <w:rFonts w:ascii="仿宋_GB2312" w:hAnsi="宋体" w:eastAsia="仿宋_GB2312" w:cs="仿宋_GB2312"/>
                <w:color w:val="auto"/>
              </w:rPr>
              <w:t>/</w:t>
            </w:r>
            <w:r>
              <w:rPr>
                <w:rFonts w:hint="eastAsia" w:ascii="仿宋_GB2312" w:hAnsi="宋体" w:eastAsia="仿宋_GB2312" w:cs="仿宋_GB2312"/>
                <w:color w:val="auto"/>
              </w:rPr>
              <w:t>户</w:t>
            </w:r>
          </w:p>
        </w:tc>
        <w:tc>
          <w:tcPr>
            <w:tcW w:w="1179" w:type="dxa"/>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宋体" w:eastAsia="仿宋_GB2312" w:cs="仿宋_GB2312"/>
                <w:color w:val="auto"/>
              </w:rPr>
            </w:pPr>
            <w:r>
              <w:rPr>
                <w:rFonts w:hint="eastAsia" w:ascii="仿宋_GB2312" w:hAnsi="宋体" w:eastAsia="仿宋_GB2312" w:cs="仿宋_GB2312"/>
                <w:color w:val="auto"/>
              </w:rPr>
              <w:t>170～22</w:t>
            </w:r>
            <w:r>
              <w:rPr>
                <w:rFonts w:ascii="仿宋_GB2312" w:hAnsi="宋体" w:eastAsia="仿宋_GB2312" w:cs="仿宋_GB2312"/>
                <w:color w:val="auto"/>
              </w:rPr>
              <w:t>0</w:t>
            </w:r>
          </w:p>
        </w:tc>
        <w:tc>
          <w:tcPr>
            <w:tcW w:w="1046" w:type="dxa"/>
            <w:vAlign w:val="center"/>
          </w:tcPr>
          <w:p>
            <w:pPr>
              <w:keepNext w:val="0"/>
              <w:keepLines w:val="0"/>
              <w:pageBreakBefore w:val="0"/>
              <w:kinsoku/>
              <w:wordWrap/>
              <w:overflowPunct/>
              <w:topLinePunct w:val="0"/>
              <w:autoSpaceDE/>
              <w:autoSpaceDN/>
              <w:bidi w:val="0"/>
              <w:adjustRightInd/>
              <w:snapToGrid/>
              <w:spacing w:line="560" w:lineRule="exact"/>
              <w:outlineLvl w:val="9"/>
              <w:rPr>
                <w:rFonts w:ascii="仿宋_GB2312" w:hAnsi="宋体" w:eastAsia="仿宋_GB2312" w:cs="仿宋_GB2312"/>
                <w:color w:val="auto"/>
              </w:rPr>
            </w:pPr>
            <w:r>
              <w:rPr>
                <w:rFonts w:hint="eastAsia" w:ascii="仿宋_GB2312" w:hAnsi="宋体" w:eastAsia="仿宋_GB2312" w:cs="仿宋_GB2312"/>
                <w:color w:val="auto"/>
              </w:rPr>
              <w:t>14～180</w:t>
            </w:r>
          </w:p>
        </w:tc>
        <w:tc>
          <w:tcPr>
            <w:tcW w:w="987" w:type="dxa"/>
            <w:vAlign w:val="center"/>
          </w:tcPr>
          <w:p>
            <w:pPr>
              <w:keepNext w:val="0"/>
              <w:keepLines w:val="0"/>
              <w:pageBreakBefore w:val="0"/>
              <w:kinsoku/>
              <w:wordWrap/>
              <w:overflowPunct/>
              <w:topLinePunct w:val="0"/>
              <w:autoSpaceDE/>
              <w:autoSpaceDN/>
              <w:bidi w:val="0"/>
              <w:adjustRightInd/>
              <w:snapToGrid/>
              <w:spacing w:line="560" w:lineRule="exact"/>
              <w:jc w:val="left"/>
              <w:outlineLvl w:val="9"/>
              <w:rPr>
                <w:rFonts w:ascii="仿宋_GB2312" w:eastAsia="仿宋_GB2312"/>
                <w:color w:val="auto"/>
              </w:rPr>
            </w:pPr>
            <w:r>
              <w:rPr>
                <w:rFonts w:ascii="仿宋_GB2312" w:hAnsi="宋体" w:eastAsia="仿宋_GB2312" w:cs="仿宋_GB2312"/>
                <w:color w:val="auto"/>
              </w:rPr>
              <w:t>80</w:t>
            </w:r>
            <w:r>
              <w:rPr>
                <w:rFonts w:hint="eastAsia" w:ascii="仿宋_GB2312" w:hAnsi="宋体" w:eastAsia="仿宋_GB2312" w:cs="仿宋_GB2312"/>
                <w:color w:val="auto"/>
              </w:rPr>
              <w:t>～</w:t>
            </w:r>
            <w:r>
              <w:rPr>
                <w:rFonts w:ascii="仿宋_GB2312" w:hAnsi="宋体" w:eastAsia="仿宋_GB2312" w:cs="仿宋_GB2312"/>
                <w:color w:val="auto"/>
              </w:rPr>
              <w:t>110</w:t>
            </w:r>
          </w:p>
        </w:tc>
        <w:tc>
          <w:tcPr>
            <w:tcW w:w="855" w:type="dxa"/>
            <w:vAlign w:val="center"/>
          </w:tcPr>
          <w:p>
            <w:pPr>
              <w:keepNext w:val="0"/>
              <w:keepLines w:val="0"/>
              <w:pageBreakBefore w:val="0"/>
              <w:kinsoku/>
              <w:wordWrap/>
              <w:overflowPunct/>
              <w:topLinePunct w:val="0"/>
              <w:autoSpaceDE/>
              <w:autoSpaceDN/>
              <w:bidi w:val="0"/>
              <w:adjustRightInd/>
              <w:snapToGrid/>
              <w:spacing w:line="560" w:lineRule="exact"/>
              <w:jc w:val="left"/>
              <w:outlineLvl w:val="9"/>
              <w:rPr>
                <w:rFonts w:ascii="仿宋_GB2312" w:eastAsia="仿宋_GB2312"/>
                <w:color w:val="auto"/>
              </w:rPr>
            </w:pPr>
            <w:r>
              <w:rPr>
                <w:rFonts w:ascii="仿宋_GB2312" w:hAnsi="宋体" w:eastAsia="仿宋_GB2312" w:cs="仿宋_GB2312"/>
                <w:color w:val="auto"/>
              </w:rPr>
              <w:t>60</w:t>
            </w:r>
            <w:r>
              <w:rPr>
                <w:rFonts w:hint="eastAsia" w:ascii="仿宋_GB2312" w:hAnsi="宋体" w:eastAsia="仿宋_GB2312" w:cs="仿宋_GB2312"/>
                <w:color w:val="auto"/>
              </w:rPr>
              <w:t>～</w:t>
            </w:r>
            <w:r>
              <w:rPr>
                <w:rFonts w:ascii="仿宋_GB2312" w:hAnsi="宋体" w:eastAsia="仿宋_GB2312" w:cs="仿宋_GB2312"/>
                <w:color w:val="auto"/>
              </w:rPr>
              <w:t>80</w:t>
            </w:r>
          </w:p>
        </w:tc>
        <w:tc>
          <w:tcPr>
            <w:tcW w:w="884" w:type="dxa"/>
            <w:vAlign w:val="center"/>
          </w:tcPr>
          <w:p>
            <w:pPr>
              <w:keepNext w:val="0"/>
              <w:keepLines w:val="0"/>
              <w:pageBreakBefore w:val="0"/>
              <w:kinsoku/>
              <w:wordWrap/>
              <w:overflowPunct/>
              <w:topLinePunct w:val="0"/>
              <w:autoSpaceDE/>
              <w:autoSpaceDN/>
              <w:bidi w:val="0"/>
              <w:adjustRightInd/>
              <w:snapToGrid/>
              <w:spacing w:line="560" w:lineRule="exact"/>
              <w:jc w:val="left"/>
              <w:outlineLvl w:val="9"/>
              <w:rPr>
                <w:rFonts w:ascii="仿宋_GB2312" w:eastAsia="仿宋_GB2312"/>
                <w:color w:val="auto"/>
              </w:rPr>
            </w:pPr>
            <w:r>
              <w:rPr>
                <w:rFonts w:ascii="仿宋_GB2312" w:hAnsi="宋体" w:eastAsia="仿宋_GB2312" w:cs="仿宋_GB2312"/>
                <w:color w:val="auto"/>
              </w:rPr>
              <w:t>30</w:t>
            </w:r>
            <w:r>
              <w:rPr>
                <w:rFonts w:hint="eastAsia" w:ascii="仿宋_GB2312" w:hAnsi="宋体" w:eastAsia="仿宋_GB2312" w:cs="仿宋_GB2312"/>
                <w:color w:val="auto"/>
              </w:rPr>
              <w:t>～</w:t>
            </w:r>
            <w:r>
              <w:rPr>
                <w:rFonts w:ascii="仿宋_GB2312" w:hAnsi="宋体" w:eastAsia="仿宋_GB2312" w:cs="仿宋_GB2312"/>
                <w:color w:val="auto"/>
              </w:rPr>
              <w:t>60</w:t>
            </w:r>
          </w:p>
        </w:tc>
        <w:tc>
          <w:tcPr>
            <w:tcW w:w="899" w:type="dxa"/>
            <w:vAlign w:val="center"/>
          </w:tcPr>
          <w:p>
            <w:pPr>
              <w:keepNext w:val="0"/>
              <w:keepLines w:val="0"/>
              <w:pageBreakBefore w:val="0"/>
              <w:kinsoku/>
              <w:wordWrap/>
              <w:overflowPunct/>
              <w:topLinePunct w:val="0"/>
              <w:autoSpaceDE/>
              <w:autoSpaceDN/>
              <w:bidi w:val="0"/>
              <w:adjustRightInd/>
              <w:snapToGrid/>
              <w:spacing w:line="560" w:lineRule="exact"/>
              <w:jc w:val="left"/>
              <w:outlineLvl w:val="9"/>
              <w:rPr>
                <w:rFonts w:ascii="仿宋_GB2312" w:eastAsia="仿宋_GB2312"/>
                <w:color w:val="auto"/>
              </w:rPr>
            </w:pPr>
            <w:r>
              <w:rPr>
                <w:rFonts w:ascii="仿宋_GB2312" w:hAnsi="宋体" w:eastAsia="仿宋_GB2312" w:cs="仿宋_GB2312"/>
                <w:color w:val="auto"/>
              </w:rPr>
              <w:t>15</w:t>
            </w:r>
            <w:r>
              <w:rPr>
                <w:rFonts w:hint="eastAsia" w:ascii="仿宋_GB2312" w:hAnsi="宋体" w:eastAsia="仿宋_GB2312" w:cs="仿宋_GB2312"/>
                <w:color w:val="auto"/>
              </w:rPr>
              <w:t>～</w:t>
            </w:r>
            <w:r>
              <w:rPr>
                <w:rFonts w:ascii="仿宋_GB2312" w:hAnsi="宋体" w:eastAsia="仿宋_GB2312" w:cs="仿宋_GB2312"/>
                <w:color w:val="auto"/>
              </w:rPr>
              <w:t>30</w:t>
            </w:r>
          </w:p>
        </w:tc>
        <w:tc>
          <w:tcPr>
            <w:tcW w:w="855" w:type="dxa"/>
            <w:vAlign w:val="center"/>
          </w:tcPr>
          <w:p>
            <w:pPr>
              <w:keepNext w:val="0"/>
              <w:keepLines w:val="0"/>
              <w:pageBreakBefore w:val="0"/>
              <w:kinsoku/>
              <w:wordWrap/>
              <w:overflowPunct/>
              <w:topLinePunct w:val="0"/>
              <w:autoSpaceDE/>
              <w:autoSpaceDN/>
              <w:bidi w:val="0"/>
              <w:adjustRightInd/>
              <w:snapToGrid/>
              <w:spacing w:line="560" w:lineRule="exact"/>
              <w:jc w:val="left"/>
              <w:outlineLvl w:val="9"/>
              <w:rPr>
                <w:rFonts w:ascii="仿宋_GB2312" w:eastAsia="仿宋_GB2312"/>
                <w:color w:val="auto"/>
              </w:rPr>
            </w:pPr>
            <w:r>
              <w:rPr>
                <w:rFonts w:ascii="仿宋_GB2312" w:hAnsi="宋体" w:eastAsia="仿宋_GB2312" w:cs="仿宋_GB2312"/>
                <w:color w:val="auto"/>
              </w:rPr>
              <w:t>5</w:t>
            </w:r>
            <w:r>
              <w:rPr>
                <w:rFonts w:hint="eastAsia" w:ascii="仿宋_GB2312" w:hAnsi="宋体" w:eastAsia="仿宋_GB2312" w:cs="仿宋_GB2312"/>
                <w:color w:val="auto"/>
              </w:rPr>
              <w:t>～</w:t>
            </w:r>
            <w:r>
              <w:rPr>
                <w:rFonts w:ascii="仿宋_GB2312" w:hAnsi="宋体" w:eastAsia="仿宋_GB2312" w:cs="仿宋_GB2312"/>
                <w:color w:val="auto"/>
              </w:rPr>
              <w:t>15</w:t>
            </w:r>
          </w:p>
        </w:tc>
        <w:tc>
          <w:tcPr>
            <w:tcW w:w="790" w:type="dxa"/>
            <w:vAlign w:val="center"/>
          </w:tcPr>
          <w:p>
            <w:pPr>
              <w:keepNext w:val="0"/>
              <w:keepLines w:val="0"/>
              <w:pageBreakBefore w:val="0"/>
              <w:kinsoku/>
              <w:wordWrap/>
              <w:overflowPunct/>
              <w:topLinePunct w:val="0"/>
              <w:autoSpaceDE/>
              <w:autoSpaceDN/>
              <w:bidi w:val="0"/>
              <w:adjustRightInd/>
              <w:snapToGrid/>
              <w:spacing w:line="560" w:lineRule="exact"/>
              <w:jc w:val="left"/>
              <w:outlineLvl w:val="9"/>
              <w:rPr>
                <w:rFonts w:ascii="仿宋_GB2312" w:eastAsia="仿宋_GB2312"/>
                <w:color w:val="auto"/>
              </w:rPr>
            </w:pPr>
            <w:r>
              <w:rPr>
                <w:rFonts w:ascii="仿宋_GB2312" w:hAnsi="宋体" w:eastAsia="仿宋_GB2312" w:cs="仿宋_GB2312"/>
                <w:color w:val="auto"/>
              </w:rPr>
              <w:t>3</w:t>
            </w:r>
            <w:r>
              <w:rPr>
                <w:rFonts w:hint="eastAsia" w:ascii="仿宋_GB2312" w:hAnsi="宋体" w:eastAsia="仿宋_GB2312" w:cs="仿宋_GB2312"/>
                <w:color w:val="auto"/>
              </w:rPr>
              <w:t>～</w:t>
            </w:r>
            <w:r>
              <w:rPr>
                <w:rFonts w:ascii="仿宋_GB2312" w:hAnsi="宋体" w:eastAsia="仿宋_GB2312" w:cs="仿宋_GB2312"/>
                <w:color w:val="auto"/>
              </w:rPr>
              <w:t>5</w:t>
            </w:r>
          </w:p>
        </w:tc>
        <w:tc>
          <w:tcPr>
            <w:tcW w:w="737" w:type="dxa"/>
            <w:vAlign w:val="center"/>
          </w:tcPr>
          <w:p>
            <w:pPr>
              <w:keepNext w:val="0"/>
              <w:keepLines w:val="0"/>
              <w:pageBreakBefore w:val="0"/>
              <w:kinsoku/>
              <w:wordWrap/>
              <w:overflowPunct/>
              <w:topLinePunct w:val="0"/>
              <w:autoSpaceDE/>
              <w:autoSpaceDN/>
              <w:bidi w:val="0"/>
              <w:adjustRightInd/>
              <w:snapToGrid/>
              <w:spacing w:line="560" w:lineRule="exact"/>
              <w:jc w:val="left"/>
              <w:outlineLvl w:val="9"/>
              <w:rPr>
                <w:rFonts w:ascii="仿宋_GB2312" w:eastAsia="仿宋_GB2312"/>
                <w:color w:val="auto"/>
              </w:rPr>
            </w:pPr>
            <w:r>
              <w:rPr>
                <w:rFonts w:ascii="仿宋_GB2312" w:hAnsi="宋体" w:eastAsia="仿宋_GB2312" w:cs="仿宋_GB2312"/>
                <w:color w:val="auto"/>
              </w:rPr>
              <w:t>1</w:t>
            </w:r>
            <w:r>
              <w:rPr>
                <w:rFonts w:hint="eastAsia" w:ascii="仿宋_GB2312" w:hAnsi="宋体" w:eastAsia="仿宋_GB2312" w:cs="仿宋_GB2312"/>
                <w:color w:val="auto"/>
              </w:rPr>
              <w:t>～</w:t>
            </w:r>
            <w:r>
              <w:rPr>
                <w:rFonts w:ascii="仿宋_GB2312" w:hAnsi="宋体" w:eastAsia="仿宋_GB2312" w:cs="仿宋_GB2312"/>
                <w:color w:val="auto"/>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336" w:type="dxa"/>
            <w:gridSpan w:val="10"/>
            <w:vAlign w:val="center"/>
          </w:tcPr>
          <w:p>
            <w:pPr>
              <w:keepNext w:val="0"/>
              <w:keepLines w:val="0"/>
              <w:pageBreakBefore w:val="0"/>
              <w:kinsoku/>
              <w:wordWrap/>
              <w:overflowPunct/>
              <w:topLinePunct w:val="0"/>
              <w:autoSpaceDE/>
              <w:autoSpaceDN/>
              <w:bidi w:val="0"/>
              <w:adjustRightInd/>
              <w:snapToGrid/>
              <w:spacing w:line="560" w:lineRule="exact"/>
              <w:outlineLvl w:val="9"/>
              <w:rPr>
                <w:color w:val="auto"/>
              </w:rPr>
            </w:pPr>
            <w:r>
              <w:rPr>
                <w:rFonts w:hint="eastAsia" w:ascii="仿宋_GB2312" w:hAnsi="仿宋_GB2312" w:eastAsia="仿宋_GB2312" w:cs="仿宋_GB2312"/>
                <w:color w:val="auto"/>
              </w:rPr>
              <w:t>注：本表以PE管为代表，管径指公称外径；控制供水户数根据住户间距和管道总长确定</w:t>
            </w:r>
            <w:r>
              <w:rPr>
                <w:rFonts w:hint="eastAsia"/>
                <w:color w:val="auto"/>
              </w:rPr>
              <w:t>。</w:t>
            </w:r>
          </w:p>
        </w:tc>
      </w:tr>
    </w:tbl>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w:t>
      </w: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rPr>
        <w:t>）饮水水毁修复工程</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拦水坝修复、集水井修复、沉淀过滤池防渗处理、蓄水池防渗处理、管网更换。</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w:t>
      </w:r>
      <w:r>
        <w:rPr>
          <w:rFonts w:ascii="仿宋_GB2312" w:hAnsi="宋体" w:eastAsia="仿宋_GB2312" w:cs="仿宋_GB2312"/>
          <w:color w:val="auto"/>
          <w:sz w:val="32"/>
          <w:szCs w:val="32"/>
        </w:rPr>
        <w:t>2</w:t>
      </w:r>
      <w:r>
        <w:rPr>
          <w:rFonts w:hint="eastAsia" w:ascii="仿宋_GB2312" w:hAnsi="宋体" w:eastAsia="仿宋_GB2312" w:cs="仿宋_GB2312"/>
          <w:color w:val="auto"/>
          <w:sz w:val="32"/>
          <w:szCs w:val="32"/>
        </w:rPr>
        <w:t>）饮水巩固提升工程</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新建拦水坝、集水井、沉淀过滤池、蓄水池、消毒设备、管网工程；维修改造可参考饮水水毁修复工程投资。</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3" w:firstLineChars="200"/>
        <w:jc w:val="left"/>
        <w:outlineLvl w:val="9"/>
        <w:rPr>
          <w:rFonts w:ascii="仿宋_GB2312" w:eastAsia="仿宋_GB2312"/>
          <w:b/>
          <w:bCs/>
          <w:color w:val="auto"/>
          <w:sz w:val="32"/>
          <w:szCs w:val="32"/>
        </w:rPr>
      </w:pPr>
      <w:r>
        <w:rPr>
          <w:rFonts w:hint="eastAsia" w:ascii="仿宋_GB2312" w:hAnsi="宋体" w:eastAsia="仿宋_GB2312" w:cs="仿宋_GB2312"/>
          <w:b/>
          <w:bCs/>
          <w:color w:val="auto"/>
          <w:sz w:val="32"/>
          <w:szCs w:val="32"/>
        </w:rPr>
        <w:t>分类投资标准</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w:t>
      </w: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rPr>
        <w:t>）饮水水毁修复工程</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拦水坝修复（不含材料倒运）：30</w:t>
      </w:r>
      <w:r>
        <w:rPr>
          <w:rFonts w:ascii="仿宋_GB2312" w:hAnsi="宋体" w:eastAsia="仿宋_GB2312" w:cs="仿宋_GB2312"/>
          <w:color w:val="auto"/>
          <w:sz w:val="32"/>
          <w:szCs w:val="32"/>
        </w:rPr>
        <w:t>00</w:t>
      </w:r>
      <w:r>
        <w:rPr>
          <w:rFonts w:hint="eastAsia" w:ascii="仿宋_GB2312" w:hAnsi="宋体" w:eastAsia="仿宋_GB2312" w:cs="仿宋_GB2312"/>
          <w:color w:val="auto"/>
          <w:sz w:val="32"/>
          <w:szCs w:val="32"/>
        </w:rPr>
        <w:t>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集水井修复</w:t>
      </w: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rPr>
        <w:t>座：4</w:t>
      </w:r>
      <w:r>
        <w:rPr>
          <w:rFonts w:ascii="仿宋_GB2312" w:hAnsi="宋体" w:eastAsia="仿宋_GB2312" w:cs="仿宋_GB2312"/>
          <w:color w:val="auto"/>
          <w:sz w:val="32"/>
          <w:szCs w:val="32"/>
        </w:rPr>
        <w:t>000</w:t>
      </w:r>
      <w:r>
        <w:rPr>
          <w:rFonts w:hint="eastAsia" w:ascii="仿宋_GB2312" w:hAnsi="宋体" w:eastAsia="仿宋_GB2312" w:cs="仿宋_GB2312"/>
          <w:color w:val="auto"/>
          <w:sz w:val="32"/>
          <w:szCs w:val="32"/>
        </w:rPr>
        <w:t>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座；</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沉淀过滤池抹面防渗处理：3500元/座；</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沉淀过滤池钢筋砼处理：22000元/座；</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蓄水池防渗抹面处理</w:t>
      </w: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rPr>
        <w:t>座：</w:t>
      </w:r>
      <w:r>
        <w:rPr>
          <w:rFonts w:ascii="仿宋_GB2312" w:hAnsi="宋体" w:eastAsia="仿宋_GB2312" w:cs="仿宋_GB2312"/>
          <w:color w:val="auto"/>
          <w:sz w:val="32"/>
          <w:szCs w:val="32"/>
        </w:rPr>
        <w:t>3500</w:t>
      </w:r>
      <w:r>
        <w:rPr>
          <w:rFonts w:hint="eastAsia" w:ascii="仿宋_GB2312" w:hAnsi="宋体" w:eastAsia="仿宋_GB2312" w:cs="仿宋_GB2312"/>
          <w:color w:val="auto"/>
          <w:sz w:val="32"/>
          <w:szCs w:val="32"/>
        </w:rPr>
        <w:t>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座；</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蓄水池钢筋砼防渗处理1座：28000元/座；</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管网更换：参照饮水巩固提升工程</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w:t>
      </w:r>
      <w:r>
        <w:rPr>
          <w:rFonts w:ascii="仿宋_GB2312" w:hAnsi="宋体" w:eastAsia="仿宋_GB2312" w:cs="仿宋_GB2312"/>
          <w:color w:val="auto"/>
          <w:sz w:val="32"/>
          <w:szCs w:val="32"/>
        </w:rPr>
        <w:t>2</w:t>
      </w:r>
      <w:r>
        <w:rPr>
          <w:rFonts w:hint="eastAsia" w:ascii="仿宋_GB2312" w:hAnsi="宋体" w:eastAsia="仿宋_GB2312" w:cs="仿宋_GB2312"/>
          <w:color w:val="auto"/>
          <w:sz w:val="32"/>
          <w:szCs w:val="32"/>
        </w:rPr>
        <w:t>）饮水巩固提升工程</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①新建拦水坝（不含材料倒运）：50</w:t>
      </w:r>
      <w:r>
        <w:rPr>
          <w:rFonts w:ascii="仿宋_GB2312" w:hAnsi="宋体" w:eastAsia="仿宋_GB2312" w:cs="仿宋_GB2312"/>
          <w:color w:val="auto"/>
          <w:sz w:val="32"/>
          <w:szCs w:val="32"/>
        </w:rPr>
        <w:t>00</w:t>
      </w:r>
      <w:r>
        <w:rPr>
          <w:rFonts w:hint="eastAsia" w:ascii="仿宋_GB2312" w:hAnsi="宋体" w:eastAsia="仿宋_GB2312" w:cs="仿宋_GB2312"/>
          <w:color w:val="auto"/>
          <w:sz w:val="32"/>
          <w:szCs w:val="32"/>
        </w:rPr>
        <w:t>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材料二次倒运：5.8元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highlight w:val="yellow"/>
        </w:rPr>
      </w:pPr>
      <w:r>
        <w:rPr>
          <w:rFonts w:hint="eastAsia" w:ascii="仿宋_GB2312" w:hAnsi="宋体" w:eastAsia="仿宋_GB2312" w:cs="仿宋_GB2312"/>
          <w:color w:val="auto"/>
          <w:sz w:val="32"/>
          <w:szCs w:val="32"/>
        </w:rPr>
        <w:t>②新建集水井：</w:t>
      </w:r>
      <w:r>
        <w:rPr>
          <w:rFonts w:ascii="仿宋_GB2312" w:hAnsi="宋体" w:eastAsia="仿宋_GB2312" w:cs="仿宋_GB2312"/>
          <w:color w:val="auto"/>
          <w:sz w:val="32"/>
          <w:szCs w:val="32"/>
        </w:rPr>
        <w:t>10000</w:t>
      </w:r>
      <w:r>
        <w:rPr>
          <w:rFonts w:hint="eastAsia" w:ascii="仿宋_GB2312" w:hAnsi="宋体" w:eastAsia="仿宋_GB2312" w:cs="仿宋_GB2312"/>
          <w:color w:val="auto"/>
          <w:sz w:val="32"/>
          <w:szCs w:val="32"/>
        </w:rPr>
        <w:t>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座</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③新建沉淀过滤池（不含材料倒运）：39</w:t>
      </w:r>
      <w:r>
        <w:rPr>
          <w:rFonts w:ascii="仿宋_GB2312" w:hAnsi="宋体" w:eastAsia="仿宋_GB2312" w:cs="仿宋_GB2312"/>
          <w:color w:val="auto"/>
          <w:sz w:val="32"/>
          <w:szCs w:val="32"/>
        </w:rPr>
        <w:t>000</w:t>
      </w:r>
      <w:r>
        <w:rPr>
          <w:rFonts w:hint="eastAsia" w:ascii="仿宋_GB2312" w:hAnsi="宋体" w:eastAsia="仿宋_GB2312" w:cs="仿宋_GB2312"/>
          <w:color w:val="auto"/>
          <w:sz w:val="32"/>
          <w:szCs w:val="32"/>
        </w:rPr>
        <w:t>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座；</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材料二次倒运：16.8元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④新建</w:t>
      </w:r>
      <w:r>
        <w:rPr>
          <w:rFonts w:ascii="仿宋_GB2312" w:hAnsi="宋体" w:eastAsia="仿宋_GB2312" w:cs="仿宋_GB2312"/>
          <w:color w:val="auto"/>
          <w:sz w:val="32"/>
          <w:szCs w:val="32"/>
        </w:rPr>
        <w:t>10m</w:t>
      </w:r>
      <w:r>
        <w:rPr>
          <w:rFonts w:ascii="仿宋_GB2312" w:hAnsi="宋体" w:eastAsia="仿宋_GB2312" w:cs="仿宋_GB2312"/>
          <w:color w:val="auto"/>
          <w:sz w:val="32"/>
          <w:szCs w:val="32"/>
          <w:vertAlign w:val="superscript"/>
        </w:rPr>
        <w:t>3</w:t>
      </w:r>
      <w:r>
        <w:rPr>
          <w:rFonts w:hint="eastAsia" w:ascii="仿宋_GB2312" w:hAnsi="宋体" w:eastAsia="仿宋_GB2312" w:cs="仿宋_GB2312"/>
          <w:color w:val="auto"/>
          <w:sz w:val="32"/>
          <w:szCs w:val="32"/>
        </w:rPr>
        <w:t>混凝土蓄水池（不含材料倒运）：</w:t>
      </w:r>
      <w:r>
        <w:rPr>
          <w:rFonts w:ascii="仿宋_GB2312" w:hAnsi="宋体" w:eastAsia="仿宋_GB2312" w:cs="仿宋_GB2312"/>
          <w:color w:val="auto"/>
          <w:sz w:val="32"/>
          <w:szCs w:val="32"/>
        </w:rPr>
        <w:t>24000</w:t>
      </w:r>
      <w:r>
        <w:rPr>
          <w:rFonts w:hint="eastAsia" w:ascii="仿宋_GB2312" w:hAnsi="宋体" w:eastAsia="仿宋_GB2312" w:cs="仿宋_GB2312"/>
          <w:color w:val="auto"/>
          <w:sz w:val="32"/>
          <w:szCs w:val="32"/>
        </w:rPr>
        <w:t>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座；</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材料二次倒运：16.8元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⑤新建</w:t>
      </w:r>
      <w:r>
        <w:rPr>
          <w:rFonts w:ascii="仿宋_GB2312" w:hAnsi="宋体" w:eastAsia="仿宋_GB2312" w:cs="仿宋_GB2312"/>
          <w:color w:val="auto"/>
          <w:sz w:val="32"/>
          <w:szCs w:val="32"/>
        </w:rPr>
        <w:t>20m</w:t>
      </w:r>
      <w:r>
        <w:rPr>
          <w:rFonts w:ascii="仿宋_GB2312" w:hAnsi="宋体" w:eastAsia="仿宋_GB2312" w:cs="仿宋_GB2312"/>
          <w:color w:val="auto"/>
          <w:sz w:val="32"/>
          <w:szCs w:val="32"/>
          <w:vertAlign w:val="superscript"/>
        </w:rPr>
        <w:t>3</w:t>
      </w:r>
      <w:r>
        <w:rPr>
          <w:rFonts w:hint="eastAsia" w:ascii="仿宋_GB2312" w:hAnsi="宋体" w:eastAsia="仿宋_GB2312" w:cs="仿宋_GB2312"/>
          <w:color w:val="auto"/>
          <w:sz w:val="32"/>
          <w:szCs w:val="32"/>
        </w:rPr>
        <w:t>混凝土蓄水池（不含材料倒运）：</w:t>
      </w:r>
      <w:r>
        <w:rPr>
          <w:rFonts w:ascii="仿宋_GB2312" w:hAnsi="宋体" w:eastAsia="仿宋_GB2312" w:cs="仿宋_GB2312"/>
          <w:color w:val="auto"/>
          <w:sz w:val="32"/>
          <w:szCs w:val="32"/>
        </w:rPr>
        <w:t>36000</w:t>
      </w:r>
      <w:r>
        <w:rPr>
          <w:rFonts w:hint="eastAsia" w:ascii="仿宋_GB2312" w:hAnsi="宋体" w:eastAsia="仿宋_GB2312" w:cs="仿宋_GB2312"/>
          <w:color w:val="auto"/>
          <w:sz w:val="32"/>
          <w:szCs w:val="32"/>
        </w:rPr>
        <w:t>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座；</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材料二次倒运：32.6元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⑥新建</w:t>
      </w:r>
      <w:r>
        <w:rPr>
          <w:rFonts w:ascii="仿宋_GB2312" w:hAnsi="宋体" w:eastAsia="仿宋_GB2312" w:cs="仿宋_GB2312"/>
          <w:color w:val="auto"/>
          <w:sz w:val="32"/>
          <w:szCs w:val="32"/>
        </w:rPr>
        <w:t>30m</w:t>
      </w:r>
      <w:r>
        <w:rPr>
          <w:rFonts w:ascii="仿宋_GB2312" w:hAnsi="宋体" w:eastAsia="仿宋_GB2312" w:cs="仿宋_GB2312"/>
          <w:color w:val="auto"/>
          <w:sz w:val="32"/>
          <w:szCs w:val="32"/>
          <w:vertAlign w:val="superscript"/>
        </w:rPr>
        <w:t>3</w:t>
      </w:r>
      <w:r>
        <w:rPr>
          <w:rFonts w:hint="eastAsia" w:ascii="仿宋_GB2312" w:hAnsi="宋体" w:eastAsia="仿宋_GB2312" w:cs="仿宋_GB2312"/>
          <w:color w:val="auto"/>
          <w:sz w:val="32"/>
          <w:szCs w:val="32"/>
        </w:rPr>
        <w:t>混凝土蓄水池（不含材料倒运）：42000元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座；</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材料二次倒运：44.64元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⑦新建5</w:t>
      </w:r>
      <w:r>
        <w:rPr>
          <w:rFonts w:ascii="仿宋_GB2312" w:hAnsi="宋体" w:eastAsia="仿宋_GB2312" w:cs="仿宋_GB2312"/>
          <w:color w:val="auto"/>
          <w:sz w:val="32"/>
          <w:szCs w:val="32"/>
        </w:rPr>
        <w:t>0m</w:t>
      </w:r>
      <w:r>
        <w:rPr>
          <w:rFonts w:ascii="仿宋_GB2312" w:hAnsi="宋体" w:eastAsia="仿宋_GB2312" w:cs="仿宋_GB2312"/>
          <w:color w:val="auto"/>
          <w:sz w:val="32"/>
          <w:szCs w:val="32"/>
          <w:vertAlign w:val="superscript"/>
        </w:rPr>
        <w:t>3</w:t>
      </w:r>
      <w:r>
        <w:rPr>
          <w:rFonts w:hint="eastAsia" w:ascii="仿宋_GB2312" w:hAnsi="宋体" w:eastAsia="仿宋_GB2312" w:cs="仿宋_GB2312"/>
          <w:color w:val="auto"/>
          <w:sz w:val="32"/>
          <w:szCs w:val="32"/>
        </w:rPr>
        <w:t>混凝土蓄水池（不含材料倒运）：58</w:t>
      </w:r>
      <w:r>
        <w:rPr>
          <w:rFonts w:ascii="仿宋_GB2312" w:hAnsi="宋体" w:eastAsia="仿宋_GB2312" w:cs="仿宋_GB2312"/>
          <w:color w:val="auto"/>
          <w:sz w:val="32"/>
          <w:szCs w:val="32"/>
        </w:rPr>
        <w:t>000</w:t>
      </w:r>
      <w:r>
        <w:rPr>
          <w:rFonts w:hint="eastAsia" w:ascii="仿宋_GB2312" w:hAnsi="宋体" w:eastAsia="仿宋_GB2312" w:cs="仿宋_GB2312"/>
          <w:color w:val="auto"/>
          <w:sz w:val="32"/>
          <w:szCs w:val="32"/>
        </w:rPr>
        <w:t>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座；</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材料二次倒运52.2元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⑧新建10</w:t>
      </w:r>
      <w:r>
        <w:rPr>
          <w:rFonts w:ascii="仿宋_GB2312" w:hAnsi="宋体" w:eastAsia="仿宋_GB2312" w:cs="仿宋_GB2312"/>
          <w:color w:val="auto"/>
          <w:sz w:val="32"/>
          <w:szCs w:val="32"/>
        </w:rPr>
        <w:t>0m</w:t>
      </w:r>
      <w:r>
        <w:rPr>
          <w:rFonts w:ascii="仿宋_GB2312" w:hAnsi="宋体" w:eastAsia="仿宋_GB2312" w:cs="仿宋_GB2312"/>
          <w:color w:val="auto"/>
          <w:sz w:val="32"/>
          <w:szCs w:val="32"/>
          <w:vertAlign w:val="superscript"/>
        </w:rPr>
        <w:t>3</w:t>
      </w:r>
      <w:r>
        <w:rPr>
          <w:rFonts w:hint="eastAsia" w:ascii="仿宋_GB2312" w:hAnsi="宋体" w:eastAsia="仿宋_GB2312" w:cs="仿宋_GB2312"/>
          <w:color w:val="auto"/>
          <w:sz w:val="32"/>
          <w:szCs w:val="32"/>
        </w:rPr>
        <w:t>混凝土蓄水池（不含材料倒运）：75</w:t>
      </w:r>
      <w:r>
        <w:rPr>
          <w:rFonts w:ascii="仿宋_GB2312" w:hAnsi="宋体" w:eastAsia="仿宋_GB2312" w:cs="仿宋_GB2312"/>
          <w:color w:val="auto"/>
          <w:sz w:val="32"/>
          <w:szCs w:val="32"/>
        </w:rPr>
        <w:t>000</w:t>
      </w:r>
      <w:r>
        <w:rPr>
          <w:rFonts w:hint="eastAsia" w:ascii="仿宋_GB2312" w:hAnsi="宋体" w:eastAsia="仿宋_GB2312" w:cs="仿宋_GB2312"/>
          <w:color w:val="auto"/>
          <w:sz w:val="32"/>
          <w:szCs w:val="32"/>
        </w:rPr>
        <w:t>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座；</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材料二次倒运：85.3元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⑨管网工程（含管材、管槽开挖、管槽回填、安装等）</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ascii="仿宋_GB2312" w:hAnsi="宋体" w:eastAsia="仿宋_GB2312" w:cs="仿宋_GB2312"/>
          <w:color w:val="auto"/>
          <w:sz w:val="32"/>
          <w:szCs w:val="32"/>
        </w:rPr>
        <w:t>De</w:t>
      </w:r>
      <w:r>
        <w:rPr>
          <w:rFonts w:hint="eastAsia" w:ascii="仿宋_GB2312" w:hAnsi="宋体" w:eastAsia="仿宋_GB2312" w:cs="仿宋_GB2312"/>
          <w:color w:val="auto"/>
          <w:sz w:val="32"/>
          <w:szCs w:val="32"/>
        </w:rPr>
        <w:t>110</w:t>
      </w:r>
      <w:r>
        <w:rPr>
          <w:rFonts w:ascii="仿宋_GB2312" w:hAnsi="宋体" w:eastAsia="仿宋_GB2312" w:cs="仿宋_GB2312"/>
          <w:color w:val="auto"/>
          <w:sz w:val="32"/>
          <w:szCs w:val="32"/>
        </w:rPr>
        <w:t>PE</w:t>
      </w:r>
      <w:r>
        <w:rPr>
          <w:rFonts w:hint="eastAsia" w:ascii="仿宋_GB2312" w:hAnsi="宋体" w:eastAsia="仿宋_GB2312" w:cs="仿宋_GB2312"/>
          <w:color w:val="auto"/>
          <w:sz w:val="32"/>
          <w:szCs w:val="32"/>
        </w:rPr>
        <w:t>管：90元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 xml:space="preserve">米、   </w:t>
      </w:r>
      <w:r>
        <w:rPr>
          <w:rFonts w:ascii="仿宋_GB2312" w:hAnsi="宋体" w:eastAsia="仿宋_GB2312" w:cs="仿宋_GB2312"/>
          <w:color w:val="auto"/>
          <w:sz w:val="32"/>
          <w:szCs w:val="32"/>
        </w:rPr>
        <w:t>De</w:t>
      </w:r>
      <w:r>
        <w:rPr>
          <w:rFonts w:hint="eastAsia" w:ascii="仿宋_GB2312" w:hAnsi="宋体" w:eastAsia="仿宋_GB2312" w:cs="仿宋_GB2312"/>
          <w:color w:val="auto"/>
          <w:sz w:val="32"/>
          <w:szCs w:val="32"/>
        </w:rPr>
        <w:t>90</w:t>
      </w:r>
      <w:r>
        <w:rPr>
          <w:rFonts w:ascii="仿宋_GB2312" w:hAnsi="宋体" w:eastAsia="仿宋_GB2312" w:cs="仿宋_GB2312"/>
          <w:color w:val="auto"/>
          <w:sz w:val="32"/>
          <w:szCs w:val="32"/>
        </w:rPr>
        <w:t>PE</w:t>
      </w:r>
      <w:r>
        <w:rPr>
          <w:rFonts w:hint="eastAsia" w:ascii="仿宋_GB2312" w:hAnsi="宋体" w:eastAsia="仿宋_GB2312" w:cs="仿宋_GB2312"/>
          <w:color w:val="auto"/>
          <w:sz w:val="32"/>
          <w:szCs w:val="32"/>
        </w:rPr>
        <w:t>管：65元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ascii="仿宋_GB2312" w:hAnsi="宋体" w:eastAsia="仿宋_GB2312" w:cs="仿宋_GB2312"/>
          <w:color w:val="auto"/>
          <w:sz w:val="32"/>
          <w:szCs w:val="32"/>
        </w:rPr>
        <w:t>De75PE</w:t>
      </w:r>
      <w:r>
        <w:rPr>
          <w:rFonts w:hint="eastAsia" w:ascii="仿宋_GB2312" w:hAnsi="宋体" w:eastAsia="仿宋_GB2312" w:cs="仿宋_GB2312"/>
          <w:color w:val="auto"/>
          <w:sz w:val="32"/>
          <w:szCs w:val="32"/>
        </w:rPr>
        <w:t>管：52元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 xml:space="preserve">米、    </w:t>
      </w:r>
      <w:r>
        <w:rPr>
          <w:rFonts w:ascii="仿宋_GB2312" w:hAnsi="宋体" w:eastAsia="仿宋_GB2312" w:cs="仿宋_GB2312"/>
          <w:color w:val="auto"/>
          <w:sz w:val="32"/>
          <w:szCs w:val="32"/>
        </w:rPr>
        <w:t>De63PE</w:t>
      </w:r>
      <w:r>
        <w:rPr>
          <w:rFonts w:hint="eastAsia" w:ascii="仿宋_GB2312" w:hAnsi="宋体" w:eastAsia="仿宋_GB2312" w:cs="仿宋_GB2312"/>
          <w:color w:val="auto"/>
          <w:sz w:val="32"/>
          <w:szCs w:val="32"/>
        </w:rPr>
        <w:t>管：40元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ascii="仿宋_GB2312" w:hAnsi="宋体" w:eastAsia="仿宋_GB2312" w:cs="仿宋_GB2312"/>
          <w:color w:val="auto"/>
          <w:sz w:val="32"/>
          <w:szCs w:val="32"/>
        </w:rPr>
        <w:t>De50PE</w:t>
      </w:r>
      <w:r>
        <w:rPr>
          <w:rFonts w:hint="eastAsia" w:ascii="仿宋_GB2312" w:hAnsi="宋体" w:eastAsia="仿宋_GB2312" w:cs="仿宋_GB2312"/>
          <w:color w:val="auto"/>
          <w:sz w:val="32"/>
          <w:szCs w:val="32"/>
        </w:rPr>
        <w:t>管：30元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 xml:space="preserve">米、    </w:t>
      </w:r>
      <w:r>
        <w:rPr>
          <w:rFonts w:ascii="仿宋_GB2312" w:hAnsi="宋体" w:eastAsia="仿宋_GB2312" w:cs="仿宋_GB2312"/>
          <w:color w:val="auto"/>
          <w:sz w:val="32"/>
          <w:szCs w:val="32"/>
        </w:rPr>
        <w:t>De40PE</w:t>
      </w:r>
      <w:r>
        <w:rPr>
          <w:rFonts w:hint="eastAsia" w:ascii="仿宋_GB2312" w:hAnsi="宋体" w:eastAsia="仿宋_GB2312" w:cs="仿宋_GB2312"/>
          <w:color w:val="auto"/>
          <w:sz w:val="32"/>
          <w:szCs w:val="32"/>
        </w:rPr>
        <w:t>管：25元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ascii="仿宋_GB2312" w:hAnsi="宋体" w:eastAsia="仿宋_GB2312" w:cs="仿宋_GB2312"/>
          <w:color w:val="auto"/>
          <w:sz w:val="32"/>
          <w:szCs w:val="32"/>
        </w:rPr>
        <w:t>De32PE</w:t>
      </w:r>
      <w:r>
        <w:rPr>
          <w:rFonts w:hint="eastAsia" w:ascii="仿宋_GB2312" w:hAnsi="宋体" w:eastAsia="仿宋_GB2312" w:cs="仿宋_GB2312"/>
          <w:color w:val="auto"/>
          <w:sz w:val="32"/>
          <w:szCs w:val="32"/>
        </w:rPr>
        <w:t>管：19元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 xml:space="preserve">米、    </w:t>
      </w:r>
      <w:r>
        <w:rPr>
          <w:rFonts w:ascii="仿宋_GB2312" w:hAnsi="宋体" w:eastAsia="仿宋_GB2312" w:cs="仿宋_GB2312"/>
          <w:color w:val="auto"/>
          <w:sz w:val="32"/>
          <w:szCs w:val="32"/>
        </w:rPr>
        <w:t>De25PE</w:t>
      </w:r>
      <w:r>
        <w:rPr>
          <w:rFonts w:hint="eastAsia" w:ascii="仿宋_GB2312" w:hAnsi="宋体" w:eastAsia="仿宋_GB2312" w:cs="仿宋_GB2312"/>
          <w:color w:val="auto"/>
          <w:sz w:val="32"/>
          <w:szCs w:val="32"/>
        </w:rPr>
        <w:t>管：16元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ascii="仿宋_GB2312" w:hAnsi="宋体" w:eastAsia="仿宋_GB2312" w:cs="仿宋_GB2312"/>
          <w:color w:val="auto"/>
          <w:sz w:val="32"/>
          <w:szCs w:val="32"/>
        </w:rPr>
        <w:t>De20PE</w:t>
      </w:r>
      <w:r>
        <w:rPr>
          <w:rFonts w:hint="eastAsia" w:ascii="仿宋_GB2312" w:hAnsi="宋体" w:eastAsia="仿宋_GB2312" w:cs="仿宋_GB2312"/>
          <w:color w:val="auto"/>
          <w:sz w:val="32"/>
          <w:szCs w:val="32"/>
        </w:rPr>
        <w:t>管：12元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米</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3" w:firstLineChars="200"/>
        <w:jc w:val="left"/>
        <w:outlineLvl w:val="9"/>
        <w:rPr>
          <w:rFonts w:ascii="仿宋_GB2312" w:eastAsia="仿宋_GB2312"/>
          <w:b/>
          <w:bCs/>
          <w:color w:val="auto"/>
          <w:sz w:val="32"/>
          <w:szCs w:val="32"/>
        </w:rPr>
      </w:pPr>
      <w:r>
        <w:rPr>
          <w:rFonts w:hint="eastAsia" w:ascii="仿宋_GB2312" w:hAnsi="宋体" w:eastAsia="仿宋_GB2312" w:cs="仿宋_GB2312"/>
          <w:b/>
          <w:bCs/>
          <w:color w:val="auto"/>
          <w:sz w:val="32"/>
          <w:szCs w:val="32"/>
        </w:rPr>
        <w:t>投资金额</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投资金额按照实际情况，将各分项投资加起来。</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例如：该工程需要修建拦水坝</w:t>
      </w:r>
      <w:r>
        <w:rPr>
          <w:rFonts w:ascii="仿宋_GB2312" w:hAnsi="宋体" w:eastAsia="仿宋_GB2312" w:cs="仿宋_GB2312"/>
          <w:color w:val="auto"/>
          <w:sz w:val="32"/>
          <w:szCs w:val="32"/>
        </w:rPr>
        <w:t>3</w:t>
      </w:r>
      <w:r>
        <w:rPr>
          <w:rFonts w:hint="eastAsia" w:ascii="仿宋_GB2312" w:hAnsi="宋体" w:eastAsia="仿宋_GB2312" w:cs="仿宋_GB2312"/>
          <w:color w:val="auto"/>
          <w:sz w:val="32"/>
          <w:szCs w:val="32"/>
        </w:rPr>
        <w:t>米（二次倒运5</w:t>
      </w:r>
      <w:r>
        <w:rPr>
          <w:rFonts w:ascii="仿宋_GB2312" w:hAnsi="宋体" w:eastAsia="仿宋_GB2312" w:cs="仿宋_GB2312"/>
          <w:color w:val="auto"/>
          <w:sz w:val="32"/>
          <w:szCs w:val="32"/>
        </w:rPr>
        <w:t>00</w:t>
      </w:r>
      <w:r>
        <w:rPr>
          <w:rFonts w:hint="eastAsia" w:ascii="仿宋_GB2312" w:hAnsi="宋体" w:eastAsia="仿宋_GB2312" w:cs="仿宋_GB2312"/>
          <w:color w:val="auto"/>
          <w:sz w:val="32"/>
          <w:szCs w:val="32"/>
        </w:rPr>
        <w:t>米）、沉淀过滤池</w:t>
      </w: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rPr>
        <w:t>座（二次倒运</w:t>
      </w:r>
      <w:r>
        <w:rPr>
          <w:rFonts w:ascii="仿宋_GB2312" w:hAnsi="宋体" w:eastAsia="仿宋_GB2312" w:cs="仿宋_GB2312"/>
          <w:color w:val="auto"/>
          <w:sz w:val="32"/>
          <w:szCs w:val="32"/>
        </w:rPr>
        <w:t>200</w:t>
      </w:r>
      <w:r>
        <w:rPr>
          <w:rFonts w:hint="eastAsia" w:ascii="仿宋_GB2312" w:hAnsi="宋体" w:eastAsia="仿宋_GB2312" w:cs="仿宋_GB2312"/>
          <w:color w:val="auto"/>
          <w:sz w:val="32"/>
          <w:szCs w:val="32"/>
        </w:rPr>
        <w:t>米）、3</w:t>
      </w:r>
      <w:r>
        <w:rPr>
          <w:rFonts w:ascii="仿宋_GB2312" w:hAnsi="宋体" w:eastAsia="仿宋_GB2312" w:cs="仿宋_GB2312"/>
          <w:color w:val="auto"/>
          <w:sz w:val="32"/>
          <w:szCs w:val="32"/>
        </w:rPr>
        <w:t>0m</w:t>
      </w:r>
      <w:r>
        <w:rPr>
          <w:rFonts w:ascii="仿宋_GB2312" w:hAnsi="宋体" w:eastAsia="仿宋_GB2312" w:cs="仿宋_GB2312"/>
          <w:color w:val="auto"/>
          <w:sz w:val="32"/>
          <w:szCs w:val="32"/>
          <w:vertAlign w:val="superscript"/>
        </w:rPr>
        <w:t>3</w:t>
      </w:r>
      <w:r>
        <w:rPr>
          <w:rFonts w:hint="eastAsia" w:ascii="仿宋_GB2312" w:hAnsi="宋体" w:eastAsia="仿宋_GB2312" w:cs="仿宋_GB2312"/>
          <w:color w:val="auto"/>
          <w:sz w:val="32"/>
          <w:szCs w:val="32"/>
        </w:rPr>
        <w:t>蓄水池</w:t>
      </w: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rPr>
        <w:t>座（二次倒运</w:t>
      </w:r>
      <w:r>
        <w:rPr>
          <w:rFonts w:ascii="仿宋_GB2312" w:hAnsi="宋体" w:eastAsia="仿宋_GB2312" w:cs="仿宋_GB2312"/>
          <w:color w:val="auto"/>
          <w:sz w:val="32"/>
          <w:szCs w:val="32"/>
        </w:rPr>
        <w:t>200</w:t>
      </w:r>
      <w:r>
        <w:rPr>
          <w:rFonts w:hint="eastAsia" w:ascii="仿宋_GB2312" w:hAnsi="宋体" w:eastAsia="仿宋_GB2312" w:cs="仿宋_GB2312"/>
          <w:color w:val="auto"/>
          <w:sz w:val="32"/>
          <w:szCs w:val="32"/>
        </w:rPr>
        <w:t>米）、</w:t>
      </w:r>
      <w:r>
        <w:rPr>
          <w:rFonts w:ascii="仿宋_GB2312" w:hAnsi="宋体" w:eastAsia="仿宋_GB2312" w:cs="仿宋_GB2312"/>
          <w:color w:val="auto"/>
          <w:sz w:val="32"/>
          <w:szCs w:val="32"/>
        </w:rPr>
        <w:t>De50PE</w:t>
      </w:r>
      <w:r>
        <w:rPr>
          <w:rFonts w:hint="eastAsia" w:ascii="仿宋_GB2312" w:hAnsi="宋体" w:eastAsia="仿宋_GB2312" w:cs="仿宋_GB2312"/>
          <w:color w:val="auto"/>
          <w:sz w:val="32"/>
          <w:szCs w:val="32"/>
        </w:rPr>
        <w:t>管：500米，</w:t>
      </w:r>
      <w:r>
        <w:rPr>
          <w:rFonts w:ascii="仿宋_GB2312" w:hAnsi="宋体" w:eastAsia="仿宋_GB2312" w:cs="仿宋_GB2312"/>
          <w:color w:val="auto"/>
          <w:sz w:val="32"/>
          <w:szCs w:val="32"/>
        </w:rPr>
        <w:t>De32PE</w:t>
      </w:r>
      <w:r>
        <w:rPr>
          <w:rFonts w:hint="eastAsia" w:ascii="仿宋_GB2312" w:hAnsi="宋体" w:eastAsia="仿宋_GB2312" w:cs="仿宋_GB2312"/>
          <w:color w:val="auto"/>
          <w:sz w:val="32"/>
          <w:szCs w:val="32"/>
        </w:rPr>
        <w:t>管：</w:t>
      </w:r>
      <w:r>
        <w:rPr>
          <w:rFonts w:ascii="仿宋_GB2312" w:hAnsi="宋体" w:eastAsia="仿宋_GB2312" w:cs="仿宋_GB2312"/>
          <w:color w:val="auto"/>
          <w:sz w:val="32"/>
          <w:szCs w:val="32"/>
        </w:rPr>
        <w:t>800</w:t>
      </w:r>
      <w:r>
        <w:rPr>
          <w:rFonts w:hint="eastAsia" w:ascii="仿宋_GB2312" w:hAnsi="宋体" w:eastAsia="仿宋_GB2312" w:cs="仿宋_GB2312"/>
          <w:color w:val="auto"/>
          <w:sz w:val="32"/>
          <w:szCs w:val="32"/>
        </w:rPr>
        <w:t>米，</w:t>
      </w:r>
      <w:r>
        <w:rPr>
          <w:rFonts w:ascii="仿宋_GB2312" w:hAnsi="宋体" w:eastAsia="仿宋_GB2312" w:cs="仿宋_GB2312"/>
          <w:color w:val="auto"/>
          <w:sz w:val="32"/>
          <w:szCs w:val="32"/>
        </w:rPr>
        <w:t>De20PE</w:t>
      </w:r>
      <w:r>
        <w:rPr>
          <w:rFonts w:hint="eastAsia" w:ascii="仿宋_GB2312" w:hAnsi="宋体" w:eastAsia="仿宋_GB2312" w:cs="仿宋_GB2312"/>
          <w:color w:val="auto"/>
          <w:sz w:val="32"/>
          <w:szCs w:val="32"/>
        </w:rPr>
        <w:t>管：800米，该工程总投资如下</w:t>
      </w:r>
      <w:r>
        <w:rPr>
          <w:rFonts w:ascii="仿宋_GB2312" w:hAnsi="宋体" w:eastAsia="仿宋_GB2312" w:cs="仿宋_GB2312"/>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拦水坝集水井：50</w:t>
      </w:r>
      <w:r>
        <w:rPr>
          <w:rFonts w:ascii="仿宋_GB2312" w:hAnsi="宋体" w:eastAsia="仿宋_GB2312" w:cs="仿宋_GB2312"/>
          <w:color w:val="auto"/>
          <w:sz w:val="32"/>
          <w:szCs w:val="32"/>
        </w:rPr>
        <w:t>00</w:t>
      </w:r>
      <w:r>
        <w:rPr>
          <w:rFonts w:hint="eastAsia" w:ascii="仿宋_GB2312" w:hAnsi="宋体" w:eastAsia="仿宋_GB2312" w:cs="仿宋_GB2312"/>
          <w:color w:val="auto"/>
          <w:sz w:val="32"/>
          <w:szCs w:val="32"/>
        </w:rPr>
        <w:t>×</w:t>
      </w:r>
      <w:r>
        <w:rPr>
          <w:rFonts w:ascii="仿宋_GB2312" w:hAnsi="宋体" w:eastAsia="仿宋_GB2312" w:cs="仿宋_GB2312"/>
          <w:color w:val="auto"/>
          <w:sz w:val="32"/>
          <w:szCs w:val="32"/>
        </w:rPr>
        <w:t>3+5.8</w:t>
      </w:r>
      <w:r>
        <w:rPr>
          <w:rFonts w:hint="eastAsia" w:ascii="仿宋_GB2312" w:hAnsi="宋体" w:eastAsia="仿宋_GB2312" w:cs="仿宋_GB2312"/>
          <w:color w:val="auto"/>
          <w:sz w:val="32"/>
          <w:szCs w:val="32"/>
        </w:rPr>
        <w:t>×</w:t>
      </w:r>
      <w:r>
        <w:rPr>
          <w:rFonts w:ascii="仿宋_GB2312" w:hAnsi="宋体" w:eastAsia="仿宋_GB2312" w:cs="仿宋_GB2312"/>
          <w:color w:val="auto"/>
          <w:sz w:val="32"/>
          <w:szCs w:val="32"/>
        </w:rPr>
        <w:t>3</w:t>
      </w:r>
      <w:r>
        <w:rPr>
          <w:rFonts w:hint="eastAsia" w:ascii="仿宋_GB2312" w:hAnsi="宋体" w:eastAsia="仿宋_GB2312" w:cs="仿宋_GB2312"/>
          <w:color w:val="auto"/>
          <w:sz w:val="32"/>
          <w:szCs w:val="32"/>
        </w:rPr>
        <w:t>×5</w:t>
      </w:r>
      <w:r>
        <w:rPr>
          <w:rFonts w:ascii="仿宋_GB2312" w:hAnsi="宋体" w:eastAsia="仿宋_GB2312" w:cs="仿宋_GB2312"/>
          <w:color w:val="auto"/>
          <w:sz w:val="32"/>
          <w:szCs w:val="32"/>
        </w:rPr>
        <w:t>00=</w:t>
      </w:r>
      <w:r>
        <w:rPr>
          <w:rFonts w:hint="eastAsia" w:ascii="仿宋_GB2312" w:hAnsi="宋体" w:eastAsia="仿宋_GB2312" w:cs="仿宋_GB2312"/>
          <w:color w:val="auto"/>
          <w:sz w:val="32"/>
          <w:szCs w:val="32"/>
        </w:rPr>
        <w:t>23700元</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沉淀过滤池：39000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16.8×</w:t>
      </w:r>
      <w:r>
        <w:rPr>
          <w:rFonts w:ascii="仿宋_GB2312" w:hAnsi="宋体" w:eastAsia="仿宋_GB2312" w:cs="仿宋_GB2312"/>
          <w:color w:val="auto"/>
          <w:sz w:val="32"/>
          <w:szCs w:val="32"/>
        </w:rPr>
        <w:t>200=</w:t>
      </w:r>
      <w:r>
        <w:rPr>
          <w:rFonts w:hint="eastAsia" w:ascii="仿宋_GB2312" w:hAnsi="宋体" w:eastAsia="仿宋_GB2312" w:cs="仿宋_GB2312"/>
          <w:color w:val="auto"/>
          <w:sz w:val="32"/>
          <w:szCs w:val="32"/>
        </w:rPr>
        <w:t>42360元</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3</w:t>
      </w:r>
      <w:r>
        <w:rPr>
          <w:rFonts w:ascii="仿宋_GB2312" w:hAnsi="宋体" w:eastAsia="仿宋_GB2312" w:cs="仿宋_GB2312"/>
          <w:color w:val="auto"/>
          <w:sz w:val="32"/>
          <w:szCs w:val="32"/>
        </w:rPr>
        <w:t>0m</w:t>
      </w:r>
      <w:r>
        <w:rPr>
          <w:rFonts w:ascii="仿宋_GB2312" w:hAnsi="宋体" w:eastAsia="仿宋_GB2312" w:cs="仿宋_GB2312"/>
          <w:color w:val="auto"/>
          <w:sz w:val="32"/>
          <w:szCs w:val="32"/>
          <w:vertAlign w:val="superscript"/>
        </w:rPr>
        <w:t>3</w:t>
      </w:r>
      <w:r>
        <w:rPr>
          <w:rFonts w:hint="eastAsia" w:ascii="仿宋_GB2312" w:hAnsi="宋体" w:eastAsia="仿宋_GB2312" w:cs="仿宋_GB2312"/>
          <w:color w:val="auto"/>
          <w:sz w:val="32"/>
          <w:szCs w:val="32"/>
        </w:rPr>
        <w:t>蓄水池：42</w:t>
      </w:r>
      <w:r>
        <w:rPr>
          <w:rFonts w:ascii="仿宋_GB2312" w:hAnsi="宋体" w:eastAsia="仿宋_GB2312" w:cs="仿宋_GB2312"/>
          <w:color w:val="auto"/>
          <w:sz w:val="32"/>
          <w:szCs w:val="32"/>
        </w:rPr>
        <w:t>000+</w:t>
      </w:r>
      <w:r>
        <w:rPr>
          <w:rFonts w:hint="eastAsia" w:ascii="仿宋_GB2312" w:hAnsi="宋体" w:eastAsia="仿宋_GB2312" w:cs="仿宋_GB2312"/>
          <w:color w:val="auto"/>
          <w:sz w:val="32"/>
          <w:szCs w:val="32"/>
        </w:rPr>
        <w:t>44.64×</w:t>
      </w:r>
      <w:r>
        <w:rPr>
          <w:rFonts w:ascii="仿宋_GB2312" w:hAnsi="宋体" w:eastAsia="仿宋_GB2312" w:cs="仿宋_GB2312"/>
          <w:color w:val="auto"/>
          <w:sz w:val="32"/>
          <w:szCs w:val="32"/>
        </w:rPr>
        <w:t>200=</w:t>
      </w:r>
      <w:r>
        <w:rPr>
          <w:rFonts w:hint="eastAsia" w:ascii="仿宋_GB2312" w:hAnsi="宋体" w:eastAsia="仿宋_GB2312" w:cs="仿宋_GB2312"/>
          <w:color w:val="auto"/>
          <w:sz w:val="32"/>
          <w:szCs w:val="32"/>
        </w:rPr>
        <w:t>50928元</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ascii="仿宋_GB2312" w:hAnsi="宋体" w:eastAsia="仿宋_GB2312" w:cs="仿宋_GB2312"/>
          <w:color w:val="auto"/>
          <w:sz w:val="32"/>
          <w:szCs w:val="32"/>
        </w:rPr>
        <w:t>De50PE</w:t>
      </w:r>
      <w:r>
        <w:rPr>
          <w:rFonts w:hint="eastAsia" w:ascii="仿宋_GB2312" w:hAnsi="宋体" w:eastAsia="仿宋_GB2312" w:cs="仿宋_GB2312"/>
          <w:color w:val="auto"/>
          <w:sz w:val="32"/>
          <w:szCs w:val="32"/>
        </w:rPr>
        <w:t>管：500×30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15000元、</w:t>
      </w:r>
      <w:r>
        <w:rPr>
          <w:rFonts w:ascii="仿宋_GB2312" w:hAnsi="宋体" w:eastAsia="仿宋_GB2312" w:cs="仿宋_GB2312"/>
          <w:color w:val="auto"/>
          <w:sz w:val="32"/>
          <w:szCs w:val="32"/>
        </w:rPr>
        <w:t>De32PE</w:t>
      </w:r>
      <w:r>
        <w:rPr>
          <w:rFonts w:hint="eastAsia" w:ascii="仿宋_GB2312" w:hAnsi="宋体" w:eastAsia="仿宋_GB2312" w:cs="仿宋_GB2312"/>
          <w:color w:val="auto"/>
          <w:sz w:val="32"/>
          <w:szCs w:val="32"/>
        </w:rPr>
        <w:t>管：</w:t>
      </w:r>
      <w:r>
        <w:rPr>
          <w:rFonts w:ascii="仿宋_GB2312" w:hAnsi="宋体" w:eastAsia="仿宋_GB2312" w:cs="仿宋_GB2312"/>
          <w:color w:val="auto"/>
          <w:sz w:val="32"/>
          <w:szCs w:val="32"/>
        </w:rPr>
        <w:t>800</w:t>
      </w:r>
      <w:r>
        <w:rPr>
          <w:rFonts w:hint="eastAsia" w:ascii="仿宋_GB2312" w:hAnsi="宋体" w:eastAsia="仿宋_GB2312" w:cs="仿宋_GB2312"/>
          <w:color w:val="auto"/>
          <w:sz w:val="32"/>
          <w:szCs w:val="32"/>
        </w:rPr>
        <w:t>×19</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15200元、</w:t>
      </w:r>
      <w:r>
        <w:rPr>
          <w:rFonts w:ascii="仿宋_GB2312" w:hAnsi="宋体" w:eastAsia="仿宋_GB2312" w:cs="仿宋_GB2312"/>
          <w:color w:val="auto"/>
          <w:sz w:val="32"/>
          <w:szCs w:val="32"/>
        </w:rPr>
        <w:t>De20PE</w:t>
      </w:r>
      <w:r>
        <w:rPr>
          <w:rFonts w:hint="eastAsia" w:ascii="仿宋_GB2312" w:hAnsi="宋体" w:eastAsia="仿宋_GB2312" w:cs="仿宋_GB2312"/>
          <w:color w:val="auto"/>
          <w:sz w:val="32"/>
          <w:szCs w:val="32"/>
        </w:rPr>
        <w:t>管：8</w:t>
      </w:r>
      <w:r>
        <w:rPr>
          <w:rFonts w:ascii="仿宋_GB2312" w:hAnsi="宋体" w:eastAsia="仿宋_GB2312" w:cs="仿宋_GB2312"/>
          <w:color w:val="auto"/>
          <w:sz w:val="32"/>
          <w:szCs w:val="32"/>
        </w:rPr>
        <w:t>00</w:t>
      </w:r>
      <w:r>
        <w:rPr>
          <w:rFonts w:hint="eastAsia" w:ascii="仿宋_GB2312" w:hAnsi="宋体" w:eastAsia="仿宋_GB2312" w:cs="仿宋_GB2312"/>
          <w:color w:val="auto"/>
          <w:sz w:val="32"/>
          <w:szCs w:val="32"/>
        </w:rPr>
        <w:t>×12</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9600元</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待摊费用：工程总投资×8%=156788×0.08=12543元</w:t>
      </w:r>
    </w:p>
    <w:p>
      <w:pPr>
        <w:keepNext w:val="0"/>
        <w:keepLines w:val="0"/>
        <w:pageBreakBefore w:val="0"/>
        <w:kinsoku/>
        <w:wordWrap/>
        <w:overflowPunct/>
        <w:topLinePunct w:val="0"/>
        <w:autoSpaceDE/>
        <w:autoSpaceDN/>
        <w:bidi w:val="0"/>
        <w:adjustRightInd/>
        <w:snapToGrid/>
        <w:spacing w:line="560" w:lineRule="exact"/>
        <w:ind w:firstLine="640" w:firstLineChars="200"/>
        <w:jc w:val="left"/>
        <w:outlineLvl w:val="9"/>
        <w:rPr>
          <w:rFonts w:ascii="仿宋_GB2312" w:eastAsia="仿宋_GB2312"/>
          <w:color w:val="auto"/>
          <w:sz w:val="32"/>
          <w:szCs w:val="32"/>
        </w:rPr>
      </w:pPr>
      <w:r>
        <w:rPr>
          <w:rFonts w:hint="eastAsia" w:ascii="仿宋_GB2312" w:hAnsi="宋体" w:eastAsia="仿宋_GB2312" w:cs="仿宋_GB2312"/>
          <w:color w:val="auto"/>
          <w:sz w:val="32"/>
          <w:szCs w:val="32"/>
        </w:rPr>
        <w:t>该工程总投资：169331元。</w:t>
      </w:r>
    </w:p>
    <w:p>
      <w:pPr>
        <w:keepNext w:val="0"/>
        <w:keepLines w:val="0"/>
        <w:pageBreakBefore w:val="0"/>
        <w:kinsoku/>
        <w:wordWrap/>
        <w:overflowPunct/>
        <w:topLinePunct w:val="0"/>
        <w:autoSpaceDE/>
        <w:autoSpaceDN/>
        <w:bidi w:val="0"/>
        <w:adjustRightInd/>
        <w:snapToGrid/>
        <w:spacing w:line="560" w:lineRule="exact"/>
        <w:ind w:firstLine="643" w:firstLineChars="200"/>
        <w:jc w:val="left"/>
        <w:outlineLvl w:val="9"/>
        <w:rPr>
          <w:rFonts w:ascii="仿宋_GB2312" w:eastAsia="仿宋_GB2312"/>
          <w:b/>
          <w:bCs/>
          <w:color w:val="auto"/>
          <w:sz w:val="32"/>
          <w:szCs w:val="32"/>
        </w:rPr>
      </w:pPr>
      <w:r>
        <w:rPr>
          <w:rFonts w:ascii="仿宋_GB2312" w:hAnsi="宋体" w:eastAsia="仿宋_GB2312" w:cs="仿宋_GB2312"/>
          <w:b/>
          <w:bCs/>
          <w:color w:val="auto"/>
          <w:sz w:val="32"/>
          <w:szCs w:val="32"/>
        </w:rPr>
        <w:t>5</w:t>
      </w:r>
      <w:r>
        <w:rPr>
          <w:rFonts w:hint="eastAsia" w:ascii="仿宋_GB2312" w:hAnsi="宋体" w:eastAsia="仿宋_GB2312" w:cs="仿宋_GB2312"/>
          <w:b/>
          <w:bCs/>
          <w:color w:val="auto"/>
          <w:sz w:val="32"/>
          <w:szCs w:val="32"/>
        </w:rPr>
        <w:t>、绩效目标</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ascii="仿宋_GB2312" w:eastAsia="仿宋_GB2312"/>
          <w:color w:val="auto"/>
          <w:sz w:val="32"/>
          <w:szCs w:val="32"/>
        </w:rPr>
      </w:pPr>
      <w:r>
        <w:rPr>
          <w:rFonts w:hint="eastAsia" w:ascii="仿宋_GB2312" w:hAnsi="宋体" w:eastAsia="仿宋_GB2312" w:cs="仿宋_GB2312"/>
          <w:color w:val="auto"/>
          <w:sz w:val="32"/>
          <w:szCs w:val="32"/>
        </w:rPr>
        <w:t>（</w:t>
      </w: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rPr>
        <w:t>）年度目标</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ascii="仿宋_GB2312" w:eastAsia="仿宋_GB2312"/>
          <w:color w:val="auto"/>
          <w:sz w:val="32"/>
          <w:szCs w:val="32"/>
        </w:rPr>
      </w:pPr>
      <w:r>
        <w:rPr>
          <w:rFonts w:hint="eastAsia" w:ascii="仿宋_GB2312" w:hAnsi="宋体" w:eastAsia="仿宋_GB2312" w:cs="仿宋_GB2312"/>
          <w:color w:val="auto"/>
          <w:sz w:val="32"/>
          <w:szCs w:val="32"/>
        </w:rPr>
        <w:t>农村饮水安全工程</w:t>
      </w: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rPr>
        <w:t>处，解决改善</w:t>
      </w:r>
      <w:r>
        <w:rPr>
          <w:rFonts w:ascii="仿宋_GB2312" w:hAnsi="宋体" w:eastAsia="仿宋_GB2312" w:cs="仿宋_GB2312"/>
          <w:color w:val="auto"/>
          <w:sz w:val="32"/>
          <w:szCs w:val="32"/>
        </w:rPr>
        <w:t>XX</w:t>
      </w:r>
      <w:r>
        <w:rPr>
          <w:rFonts w:hint="eastAsia" w:ascii="仿宋_GB2312" w:hAnsi="宋体" w:eastAsia="仿宋_GB2312" w:cs="仿宋_GB2312"/>
          <w:color w:val="auto"/>
          <w:sz w:val="32"/>
          <w:szCs w:val="32"/>
        </w:rPr>
        <w:t>镇</w:t>
      </w:r>
      <w:r>
        <w:rPr>
          <w:rFonts w:ascii="仿宋_GB2312" w:hAnsi="宋体" w:eastAsia="仿宋_GB2312" w:cs="仿宋_GB2312"/>
          <w:color w:val="auto"/>
          <w:sz w:val="32"/>
          <w:szCs w:val="32"/>
        </w:rPr>
        <w:t>XX</w:t>
      </w:r>
      <w:r>
        <w:rPr>
          <w:rFonts w:hint="eastAsia" w:ascii="仿宋_GB2312" w:hAnsi="宋体" w:eastAsia="仿宋_GB2312" w:cs="仿宋_GB2312"/>
          <w:color w:val="auto"/>
          <w:sz w:val="32"/>
          <w:szCs w:val="32"/>
        </w:rPr>
        <w:t>村</w:t>
      </w:r>
      <w:r>
        <w:rPr>
          <w:rFonts w:ascii="仿宋_GB2312" w:hAnsi="宋体" w:eastAsia="仿宋_GB2312" w:cs="仿宋_GB2312"/>
          <w:color w:val="auto"/>
          <w:sz w:val="32"/>
          <w:szCs w:val="32"/>
        </w:rPr>
        <w:t>XX</w:t>
      </w:r>
      <w:r>
        <w:rPr>
          <w:rFonts w:hint="eastAsia" w:ascii="仿宋_GB2312" w:hAnsi="宋体" w:eastAsia="仿宋_GB2312" w:cs="仿宋_GB2312"/>
          <w:color w:val="auto"/>
          <w:sz w:val="32"/>
          <w:szCs w:val="32"/>
        </w:rPr>
        <w:t>组农村饮水安全设施条件，受益群众</w:t>
      </w:r>
      <w:r>
        <w:rPr>
          <w:rFonts w:ascii="仿宋_GB2312" w:hAnsi="宋体" w:eastAsia="仿宋_GB2312" w:cs="仿宋_GB2312"/>
          <w:color w:val="auto"/>
          <w:sz w:val="32"/>
          <w:szCs w:val="32"/>
        </w:rPr>
        <w:t>XX</w:t>
      </w:r>
      <w:r>
        <w:rPr>
          <w:rFonts w:hint="eastAsia" w:ascii="仿宋_GB2312" w:hAnsi="宋体" w:eastAsia="仿宋_GB2312" w:cs="仿宋_GB2312"/>
          <w:color w:val="auto"/>
          <w:sz w:val="32"/>
          <w:szCs w:val="32"/>
        </w:rPr>
        <w:t>户</w:t>
      </w:r>
      <w:r>
        <w:rPr>
          <w:rFonts w:ascii="仿宋_GB2312" w:hAnsi="宋体" w:eastAsia="仿宋_GB2312" w:cs="仿宋_GB2312"/>
          <w:color w:val="auto"/>
          <w:sz w:val="32"/>
          <w:szCs w:val="32"/>
        </w:rPr>
        <w:t>XX</w:t>
      </w:r>
      <w:r>
        <w:rPr>
          <w:rFonts w:hint="eastAsia" w:ascii="仿宋_GB2312" w:hAnsi="宋体" w:eastAsia="仿宋_GB2312" w:cs="仿宋_GB2312"/>
          <w:color w:val="auto"/>
          <w:sz w:val="32"/>
          <w:szCs w:val="32"/>
        </w:rPr>
        <w:t>人，其中脱贫户</w:t>
      </w:r>
      <w:r>
        <w:rPr>
          <w:rFonts w:ascii="仿宋_GB2312" w:hAnsi="宋体" w:eastAsia="仿宋_GB2312" w:cs="仿宋_GB2312"/>
          <w:color w:val="auto"/>
          <w:sz w:val="32"/>
          <w:szCs w:val="32"/>
        </w:rPr>
        <w:t>XX</w:t>
      </w:r>
      <w:r>
        <w:rPr>
          <w:rFonts w:hint="eastAsia" w:ascii="仿宋_GB2312" w:hAnsi="宋体" w:eastAsia="仿宋_GB2312" w:cs="仿宋_GB2312"/>
          <w:color w:val="auto"/>
          <w:sz w:val="32"/>
          <w:szCs w:val="32"/>
        </w:rPr>
        <w:t>户</w:t>
      </w:r>
      <w:r>
        <w:rPr>
          <w:rFonts w:ascii="仿宋_GB2312" w:hAnsi="宋体" w:eastAsia="仿宋_GB2312" w:cs="仿宋_GB2312"/>
          <w:color w:val="auto"/>
          <w:sz w:val="32"/>
          <w:szCs w:val="32"/>
        </w:rPr>
        <w:t>XX</w:t>
      </w:r>
      <w:r>
        <w:rPr>
          <w:rFonts w:hint="eastAsia" w:ascii="仿宋_GB2312" w:hAnsi="宋体" w:eastAsia="仿宋_GB2312" w:cs="仿宋_GB2312"/>
          <w:color w:val="auto"/>
          <w:sz w:val="32"/>
          <w:szCs w:val="32"/>
        </w:rPr>
        <w:t>人。</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绩效指标</w:t>
      </w:r>
      <w:bookmarkStart w:id="0" w:name="_GoBack"/>
      <w:bookmarkEnd w:id="0"/>
    </w:p>
    <w:tbl>
      <w:tblPr>
        <w:tblStyle w:val="6"/>
        <w:tblpPr w:leftFromText="180" w:rightFromText="180" w:vertAnchor="text" w:horzAnchor="page" w:tblpX="1160" w:tblpY="91"/>
        <w:tblOverlap w:val="never"/>
        <w:tblW w:w="9990" w:type="dxa"/>
        <w:tblInd w:w="0" w:type="dxa"/>
        <w:shd w:val="clear" w:color="auto" w:fill="auto"/>
        <w:tblLayout w:type="fixed"/>
        <w:tblCellMar>
          <w:top w:w="0" w:type="dxa"/>
          <w:left w:w="108" w:type="dxa"/>
          <w:bottom w:w="0" w:type="dxa"/>
          <w:right w:w="108" w:type="dxa"/>
        </w:tblCellMar>
      </w:tblPr>
      <w:tblGrid>
        <w:gridCol w:w="960"/>
        <w:gridCol w:w="1890"/>
        <w:gridCol w:w="1545"/>
        <w:gridCol w:w="3390"/>
        <w:gridCol w:w="2205"/>
      </w:tblGrid>
      <w:tr>
        <w:tblPrEx>
          <w:shd w:val="clear" w:color="auto" w:fill="auto"/>
          <w:tblLayout w:type="fixed"/>
          <w:tblCellMar>
            <w:top w:w="0" w:type="dxa"/>
            <w:left w:w="108" w:type="dxa"/>
            <w:bottom w:w="0" w:type="dxa"/>
            <w:right w:w="108" w:type="dxa"/>
          </w:tblCellMar>
        </w:tblPrEx>
        <w:trPr>
          <w:trHeight w:val="360" w:hRule="atLeast"/>
        </w:trPr>
        <w:tc>
          <w:tcPr>
            <w:tcW w:w="96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hint="eastAsia" w:ascii="仿宋_GB2312" w:hAnsi="Arial" w:eastAsia="仿宋_GB2312" w:cs="仿宋_GB2312"/>
                <w:color w:val="auto"/>
                <w:kern w:val="0"/>
                <w:lang w:eastAsia="zh-CN"/>
              </w:rPr>
            </w:pPr>
            <w:r>
              <w:rPr>
                <w:rFonts w:hint="eastAsia" w:ascii="仿宋_GB2312" w:hAnsi="Arial" w:eastAsia="仿宋_GB2312" w:cs="仿宋_GB2312"/>
                <w:color w:val="auto"/>
                <w:kern w:val="0"/>
              </w:rPr>
              <w:t>绩</w:t>
            </w:r>
          </w:p>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hint="eastAsia" w:ascii="仿宋_GB2312" w:hAnsi="Arial" w:eastAsia="仿宋_GB2312" w:cs="仿宋_GB2312"/>
                <w:color w:val="auto"/>
                <w:kern w:val="0"/>
                <w:lang w:eastAsia="zh-CN"/>
              </w:rPr>
            </w:pPr>
            <w:r>
              <w:rPr>
                <w:rFonts w:hint="eastAsia" w:ascii="仿宋_GB2312" w:hAnsi="Arial" w:eastAsia="仿宋_GB2312" w:cs="仿宋_GB2312"/>
                <w:color w:val="auto"/>
                <w:kern w:val="0"/>
              </w:rPr>
              <w:t>效</w:t>
            </w:r>
          </w:p>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hint="eastAsia" w:ascii="仿宋_GB2312" w:hAnsi="Arial" w:eastAsia="仿宋_GB2312" w:cs="仿宋_GB2312"/>
                <w:color w:val="auto"/>
                <w:kern w:val="0"/>
                <w:lang w:eastAsia="zh-CN"/>
              </w:rPr>
            </w:pPr>
            <w:r>
              <w:rPr>
                <w:rFonts w:hint="eastAsia" w:ascii="仿宋_GB2312" w:hAnsi="Arial" w:eastAsia="仿宋_GB2312" w:cs="仿宋_GB2312"/>
                <w:color w:val="auto"/>
                <w:kern w:val="0"/>
              </w:rPr>
              <w:t>指</w:t>
            </w:r>
          </w:p>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标</w:t>
            </w:r>
          </w:p>
        </w:tc>
        <w:tc>
          <w:tcPr>
            <w:tcW w:w="189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一级指标</w:t>
            </w:r>
          </w:p>
        </w:tc>
        <w:tc>
          <w:tcPr>
            <w:tcW w:w="154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二级指标</w:t>
            </w:r>
          </w:p>
        </w:tc>
        <w:tc>
          <w:tcPr>
            <w:tcW w:w="339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三级指标</w:t>
            </w:r>
          </w:p>
        </w:tc>
        <w:tc>
          <w:tcPr>
            <w:tcW w:w="220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指标值</w:t>
            </w:r>
          </w:p>
        </w:tc>
      </w:tr>
      <w:tr>
        <w:tblPrEx>
          <w:tblLayout w:type="fixed"/>
          <w:tblCellMar>
            <w:top w:w="0" w:type="dxa"/>
            <w:left w:w="108" w:type="dxa"/>
            <w:bottom w:w="0" w:type="dxa"/>
            <w:right w:w="108" w:type="dxa"/>
          </w:tblCellMar>
        </w:tblPrEx>
        <w:trPr>
          <w:trHeight w:val="360" w:hRule="atLeast"/>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890" w:type="dxa"/>
            <w:vMerge w:val="restart"/>
            <w:tcBorders>
              <w:top w:val="nil"/>
              <w:left w:val="nil"/>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产出指标</w:t>
            </w:r>
          </w:p>
        </w:tc>
        <w:tc>
          <w:tcPr>
            <w:tcW w:w="1545" w:type="dxa"/>
            <w:tcBorders>
              <w:top w:val="nil"/>
              <w:left w:val="nil"/>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数量指标</w:t>
            </w:r>
          </w:p>
        </w:tc>
        <w:tc>
          <w:tcPr>
            <w:tcW w:w="339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农村饮水安全工程（=**处）</w:t>
            </w:r>
          </w:p>
        </w:tc>
        <w:tc>
          <w:tcPr>
            <w:tcW w:w="2205"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1</w:t>
            </w:r>
          </w:p>
        </w:tc>
      </w:tr>
      <w:tr>
        <w:tblPrEx>
          <w:tblLayout w:type="fixed"/>
          <w:tblCellMar>
            <w:top w:w="0" w:type="dxa"/>
            <w:left w:w="108" w:type="dxa"/>
            <w:bottom w:w="0" w:type="dxa"/>
            <w:right w:w="108" w:type="dxa"/>
          </w:tblCellMar>
        </w:tblPrEx>
        <w:trPr>
          <w:trHeight w:val="360" w:hRule="atLeast"/>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890" w:type="dxa"/>
            <w:vMerge w:val="continue"/>
            <w:tcBorders>
              <w:top w:val="nil"/>
              <w:left w:val="nil"/>
              <w:bottom w:val="nil"/>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54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质量指标</w:t>
            </w:r>
          </w:p>
        </w:tc>
        <w:tc>
          <w:tcPr>
            <w:tcW w:w="339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项目（工程）验收合格率（=**%）</w:t>
            </w:r>
          </w:p>
        </w:tc>
        <w:tc>
          <w:tcPr>
            <w:tcW w:w="2205"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100%</w:t>
            </w:r>
          </w:p>
        </w:tc>
      </w:tr>
      <w:tr>
        <w:tblPrEx>
          <w:shd w:val="clear" w:color="auto" w:fill="auto"/>
          <w:tblLayout w:type="fixed"/>
          <w:tblCellMar>
            <w:top w:w="0" w:type="dxa"/>
            <w:left w:w="108" w:type="dxa"/>
            <w:bottom w:w="0" w:type="dxa"/>
            <w:right w:w="108" w:type="dxa"/>
          </w:tblCellMar>
        </w:tblPrEx>
        <w:trPr>
          <w:trHeight w:val="360" w:hRule="atLeast"/>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890" w:type="dxa"/>
            <w:vMerge w:val="continue"/>
            <w:tcBorders>
              <w:top w:val="nil"/>
              <w:left w:val="nil"/>
              <w:bottom w:val="nil"/>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545" w:type="dxa"/>
            <w:tcBorders>
              <w:top w:val="nil"/>
              <w:left w:val="nil"/>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时效指标</w:t>
            </w:r>
          </w:p>
        </w:tc>
        <w:tc>
          <w:tcPr>
            <w:tcW w:w="339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项目（工程）完成及时率（=**%）</w:t>
            </w:r>
          </w:p>
        </w:tc>
        <w:tc>
          <w:tcPr>
            <w:tcW w:w="2205"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100%</w:t>
            </w:r>
          </w:p>
        </w:tc>
      </w:tr>
      <w:tr>
        <w:tblPrEx>
          <w:tblLayout w:type="fixed"/>
          <w:tblCellMar>
            <w:top w:w="0" w:type="dxa"/>
            <w:left w:w="108" w:type="dxa"/>
            <w:bottom w:w="0" w:type="dxa"/>
            <w:right w:w="108" w:type="dxa"/>
          </w:tblCellMar>
        </w:tblPrEx>
        <w:trPr>
          <w:trHeight w:val="360" w:hRule="atLeast"/>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890" w:type="dxa"/>
            <w:vMerge w:val="continue"/>
            <w:tcBorders>
              <w:top w:val="nil"/>
              <w:left w:val="nil"/>
              <w:bottom w:val="nil"/>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545" w:type="dxa"/>
            <w:tcBorders>
              <w:top w:val="single" w:color="000000" w:sz="8" w:space="0"/>
              <w:left w:val="nil"/>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成本指标</w:t>
            </w:r>
          </w:p>
        </w:tc>
        <w:tc>
          <w:tcPr>
            <w:tcW w:w="339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农村饮水安全工程（=**万元/处）</w:t>
            </w:r>
          </w:p>
        </w:tc>
        <w:tc>
          <w:tcPr>
            <w:tcW w:w="2205"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r>
      <w:tr>
        <w:tblPrEx>
          <w:tblLayout w:type="fixed"/>
          <w:tblCellMar>
            <w:top w:w="0" w:type="dxa"/>
            <w:left w:w="108" w:type="dxa"/>
            <w:bottom w:w="0" w:type="dxa"/>
            <w:right w:w="108" w:type="dxa"/>
          </w:tblCellMar>
        </w:tblPrEx>
        <w:trPr>
          <w:trHeight w:val="360" w:hRule="atLeast"/>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89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效益指标</w:t>
            </w:r>
          </w:p>
        </w:tc>
        <w:tc>
          <w:tcPr>
            <w:tcW w:w="154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社会效益指标</w:t>
            </w:r>
          </w:p>
        </w:tc>
        <w:tc>
          <w:tcPr>
            <w:tcW w:w="339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提升群众饮水质量总人数(≧**人)</w:t>
            </w:r>
          </w:p>
        </w:tc>
        <w:tc>
          <w:tcPr>
            <w:tcW w:w="2205"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r>
      <w:tr>
        <w:tblPrEx>
          <w:tblLayout w:type="fixed"/>
          <w:tblCellMar>
            <w:top w:w="0" w:type="dxa"/>
            <w:left w:w="108" w:type="dxa"/>
            <w:bottom w:w="0" w:type="dxa"/>
            <w:right w:w="108" w:type="dxa"/>
          </w:tblCellMar>
        </w:tblPrEx>
        <w:trPr>
          <w:trHeight w:val="360" w:hRule="atLeast"/>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890"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54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339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提升脱贫户饮水质量户数(</w:t>
            </w:r>
            <w:r>
              <w:rPr>
                <w:rFonts w:hint="eastAsia" w:ascii="宋体" w:hAnsi="宋体" w:cs="宋体"/>
                <w:color w:val="auto"/>
                <w:kern w:val="0"/>
              </w:rPr>
              <w:t>≧</w:t>
            </w:r>
            <w:r>
              <w:rPr>
                <w:rFonts w:hint="eastAsia" w:ascii="仿宋_GB2312" w:hAnsi="Arial" w:eastAsia="仿宋_GB2312" w:cs="仿宋_GB2312"/>
                <w:color w:val="auto"/>
                <w:kern w:val="0"/>
              </w:rPr>
              <w:t>**户)</w:t>
            </w:r>
          </w:p>
        </w:tc>
        <w:tc>
          <w:tcPr>
            <w:tcW w:w="2205"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r>
      <w:tr>
        <w:tblPrEx>
          <w:tblLayout w:type="fixed"/>
          <w:tblCellMar>
            <w:top w:w="0" w:type="dxa"/>
            <w:left w:w="108" w:type="dxa"/>
            <w:bottom w:w="0" w:type="dxa"/>
            <w:right w:w="108" w:type="dxa"/>
          </w:tblCellMar>
        </w:tblPrEx>
        <w:trPr>
          <w:trHeight w:val="360" w:hRule="atLeast"/>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890"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54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339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提升脱贫户饮水质量人数(≧**人)</w:t>
            </w:r>
          </w:p>
        </w:tc>
        <w:tc>
          <w:tcPr>
            <w:tcW w:w="2205"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r>
      <w:tr>
        <w:tblPrEx>
          <w:shd w:val="clear" w:color="auto" w:fill="auto"/>
          <w:tblLayout w:type="fixed"/>
          <w:tblCellMar>
            <w:top w:w="0" w:type="dxa"/>
            <w:left w:w="108" w:type="dxa"/>
            <w:bottom w:w="0" w:type="dxa"/>
            <w:right w:w="108" w:type="dxa"/>
          </w:tblCellMar>
        </w:tblPrEx>
        <w:trPr>
          <w:trHeight w:val="360" w:hRule="atLeast"/>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890"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545" w:type="dxa"/>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生态效益指标</w:t>
            </w:r>
          </w:p>
        </w:tc>
        <w:tc>
          <w:tcPr>
            <w:tcW w:w="339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水资源利用平均提高率</w:t>
            </w:r>
          </w:p>
        </w:tc>
        <w:tc>
          <w:tcPr>
            <w:tcW w:w="2205"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进一步提高</w:t>
            </w:r>
          </w:p>
        </w:tc>
      </w:tr>
      <w:tr>
        <w:tblPrEx>
          <w:tblLayout w:type="fixed"/>
          <w:tblCellMar>
            <w:top w:w="0" w:type="dxa"/>
            <w:left w:w="108" w:type="dxa"/>
            <w:bottom w:w="0" w:type="dxa"/>
            <w:right w:w="108" w:type="dxa"/>
          </w:tblCellMar>
        </w:tblPrEx>
        <w:trPr>
          <w:trHeight w:val="360" w:hRule="atLeast"/>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890"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54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339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保质饮水卫生，提高群众饮水安全</w:t>
            </w:r>
          </w:p>
        </w:tc>
        <w:tc>
          <w:tcPr>
            <w:tcW w:w="2205"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有效提升</w:t>
            </w:r>
          </w:p>
        </w:tc>
      </w:tr>
      <w:tr>
        <w:tblPrEx>
          <w:tblLayout w:type="fixed"/>
          <w:tblCellMar>
            <w:top w:w="0" w:type="dxa"/>
            <w:left w:w="108" w:type="dxa"/>
            <w:bottom w:w="0" w:type="dxa"/>
            <w:right w:w="108" w:type="dxa"/>
          </w:tblCellMar>
        </w:tblPrEx>
        <w:trPr>
          <w:trHeight w:val="360" w:hRule="atLeast"/>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890"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545"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可持续影响指标</w:t>
            </w:r>
          </w:p>
        </w:tc>
        <w:tc>
          <w:tcPr>
            <w:tcW w:w="339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工程使用年限（≥**年）</w:t>
            </w:r>
          </w:p>
        </w:tc>
        <w:tc>
          <w:tcPr>
            <w:tcW w:w="2205"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10</w:t>
            </w:r>
          </w:p>
        </w:tc>
      </w:tr>
      <w:tr>
        <w:tblPrEx>
          <w:shd w:val="clear" w:color="auto" w:fill="auto"/>
          <w:tblLayout w:type="fixed"/>
          <w:tblCellMar>
            <w:top w:w="0" w:type="dxa"/>
            <w:left w:w="108" w:type="dxa"/>
            <w:bottom w:w="0" w:type="dxa"/>
            <w:right w:w="108" w:type="dxa"/>
          </w:tblCellMar>
        </w:tblPrEx>
        <w:trPr>
          <w:trHeight w:val="360" w:hRule="atLeast"/>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outlineLvl w:val="9"/>
              <w:rPr>
                <w:rFonts w:ascii="仿宋_GB2312" w:hAnsi="Arial" w:eastAsia="仿宋_GB2312" w:cs="仿宋_GB2312"/>
                <w:color w:val="auto"/>
              </w:rPr>
            </w:pPr>
          </w:p>
        </w:tc>
        <w:tc>
          <w:tcPr>
            <w:tcW w:w="189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满意度指标</w:t>
            </w:r>
          </w:p>
        </w:tc>
        <w:tc>
          <w:tcPr>
            <w:tcW w:w="1545"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服务对象满意度指标</w:t>
            </w:r>
          </w:p>
        </w:tc>
        <w:tc>
          <w:tcPr>
            <w:tcW w:w="339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受益脱贫户人口满意度（≥**%）</w:t>
            </w:r>
          </w:p>
        </w:tc>
        <w:tc>
          <w:tcPr>
            <w:tcW w:w="2205"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outlineLvl w:val="9"/>
              <w:rPr>
                <w:rFonts w:ascii="仿宋_GB2312" w:hAnsi="Arial" w:eastAsia="仿宋_GB2312" w:cs="仿宋_GB2312"/>
                <w:color w:val="auto"/>
              </w:rPr>
            </w:pPr>
            <w:r>
              <w:rPr>
                <w:rFonts w:hint="eastAsia" w:ascii="仿宋_GB2312" w:hAnsi="Arial" w:eastAsia="仿宋_GB2312" w:cs="仿宋_GB2312"/>
                <w:color w:val="auto"/>
                <w:kern w:val="0"/>
              </w:rPr>
              <w:t>98%</w:t>
            </w:r>
          </w:p>
        </w:tc>
      </w:tr>
    </w:tbl>
    <w:p>
      <w:pPr>
        <w:keepNext w:val="0"/>
        <w:keepLines w:val="0"/>
        <w:pageBreakBefore w:val="0"/>
        <w:kinsoku/>
        <w:wordWrap/>
        <w:overflowPunct/>
        <w:topLinePunct w:val="0"/>
        <w:autoSpaceDE/>
        <w:autoSpaceDN/>
        <w:bidi w:val="0"/>
        <w:adjustRightInd/>
        <w:snapToGrid/>
        <w:spacing w:line="560" w:lineRule="exact"/>
        <w:jc w:val="left"/>
        <w:outlineLvl w:val="9"/>
        <w:rPr>
          <w:rFonts w:ascii="黑体" w:hAnsi="黑体" w:eastAsia="黑体"/>
          <w:color w:val="auto"/>
          <w:sz w:val="32"/>
          <w:szCs w:val="32"/>
        </w:rPr>
      </w:pPr>
      <w:r>
        <w:rPr>
          <w:rFonts w:hint="eastAsia" w:ascii="黑体" w:hAnsi="黑体" w:eastAsia="黑体" w:cs="黑体"/>
          <w:color w:val="auto"/>
          <w:sz w:val="32"/>
          <w:szCs w:val="32"/>
        </w:rPr>
        <w:t>六、项目实施的过程、程序</w:t>
      </w:r>
    </w:p>
    <w:p>
      <w:pPr>
        <w:keepNext w:val="0"/>
        <w:keepLines w:val="0"/>
        <w:pageBreakBefore w:val="0"/>
        <w:kinsoku/>
        <w:wordWrap/>
        <w:overflowPunct/>
        <w:topLinePunct w:val="0"/>
        <w:autoSpaceDE/>
        <w:autoSpaceDN/>
        <w:bidi w:val="0"/>
        <w:adjustRightInd/>
        <w:snapToGrid/>
        <w:spacing w:line="560" w:lineRule="exact"/>
        <w:ind w:firstLine="643" w:firstLineChars="200"/>
        <w:outlineLvl w:val="9"/>
        <w:rPr>
          <w:rFonts w:ascii="楷体_GB2312" w:hAnsi="宋体" w:eastAsia="楷体_GB2312"/>
          <w:b/>
          <w:bCs/>
          <w:color w:val="auto"/>
          <w:sz w:val="32"/>
          <w:szCs w:val="32"/>
        </w:rPr>
      </w:pPr>
      <w:r>
        <w:rPr>
          <w:rFonts w:hint="eastAsia" w:ascii="楷体_GB2312" w:hAnsi="宋体" w:eastAsia="楷体_GB2312" w:cs="楷体_GB2312"/>
          <w:b/>
          <w:bCs/>
          <w:color w:val="auto"/>
          <w:sz w:val="32"/>
          <w:szCs w:val="32"/>
        </w:rPr>
        <w:t>（一）项目审批</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ascii="仿宋_GB2312" w:eastAsia="仿宋_GB2312"/>
          <w:color w:val="auto"/>
          <w:sz w:val="32"/>
          <w:szCs w:val="32"/>
        </w:rPr>
      </w:pPr>
      <w:r>
        <w:rPr>
          <w:rFonts w:hint="eastAsia" w:ascii="仿宋_GB2312" w:hAnsi="宋体" w:eastAsia="仿宋_GB2312" w:cs="仿宋_GB2312"/>
          <w:color w:val="auto"/>
          <w:sz w:val="32"/>
          <w:szCs w:val="32"/>
        </w:rPr>
        <w:t>年度计划实施的农村饮水安全项目以审定的项目库为基础，由县发改局、乡村振兴局按照基本建设程序和要求下达项目计划，各项目建设单位根据下达的计划，按要求编制项目初步设计，报县发改局履行审批手续。</w:t>
      </w:r>
    </w:p>
    <w:p>
      <w:pPr>
        <w:keepNext w:val="0"/>
        <w:keepLines w:val="0"/>
        <w:pageBreakBefore w:val="0"/>
        <w:kinsoku/>
        <w:wordWrap/>
        <w:overflowPunct/>
        <w:topLinePunct w:val="0"/>
        <w:autoSpaceDE/>
        <w:autoSpaceDN/>
        <w:bidi w:val="0"/>
        <w:adjustRightInd/>
        <w:snapToGrid/>
        <w:spacing w:line="560" w:lineRule="exact"/>
        <w:ind w:firstLine="643" w:firstLineChars="200"/>
        <w:outlineLvl w:val="9"/>
        <w:rPr>
          <w:rFonts w:ascii="楷体_GB2312" w:eastAsia="楷体_GB2312"/>
          <w:b/>
          <w:bCs/>
          <w:color w:val="auto"/>
          <w:sz w:val="32"/>
          <w:szCs w:val="32"/>
        </w:rPr>
      </w:pPr>
      <w:r>
        <w:rPr>
          <w:rFonts w:hint="eastAsia" w:ascii="楷体_GB2312" w:hAnsi="宋体" w:eastAsia="楷体_GB2312" w:cs="楷体_GB2312"/>
          <w:b/>
          <w:bCs/>
          <w:color w:val="auto"/>
          <w:sz w:val="32"/>
          <w:szCs w:val="32"/>
        </w:rPr>
        <w:t>（二）项目招标</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ascii="仿宋_GB2312" w:eastAsia="仿宋_GB2312"/>
          <w:color w:val="auto"/>
          <w:sz w:val="32"/>
          <w:szCs w:val="32"/>
        </w:rPr>
      </w:pPr>
      <w:r>
        <w:rPr>
          <w:rFonts w:hint="eastAsia" w:ascii="仿宋_GB2312" w:hAnsi="宋体" w:eastAsia="仿宋_GB2312" w:cs="仿宋_GB2312"/>
          <w:color w:val="auto"/>
          <w:sz w:val="32"/>
          <w:szCs w:val="32"/>
        </w:rPr>
        <w:t>项目建设单位负责按要求组织下达项目的招标工作，招标工作严格按照《紫阳县人民政府办公室关于印发紫阳县统筹整合使用财政涉农资金管理办法的通知》（紫政办</w:t>
      </w:r>
      <w:r>
        <w:rPr>
          <w:rFonts w:hint="eastAsia" w:ascii="仿宋_GB2312" w:hAnsi="宋体" w:eastAsia="仿宋_GB2312" w:cs="仿宋_GB2312"/>
          <w:color w:val="auto"/>
          <w:sz w:val="32"/>
          <w:szCs w:val="32"/>
          <w:lang w:eastAsia="zh-CN"/>
        </w:rPr>
        <w:t>发</w:t>
      </w:r>
      <w:r>
        <w:rPr>
          <w:rFonts w:hint="eastAsia" w:ascii="仿宋_GB2312" w:hAnsi="宋体" w:eastAsia="仿宋_GB2312" w:cs="仿宋_GB2312"/>
          <w:color w:val="auto"/>
          <w:sz w:val="32"/>
          <w:szCs w:val="32"/>
        </w:rPr>
        <w:t>〔</w:t>
      </w:r>
      <w:r>
        <w:rPr>
          <w:rFonts w:ascii="仿宋_GB2312" w:hAnsi="宋体" w:eastAsia="仿宋_GB2312" w:cs="仿宋_GB2312"/>
          <w:color w:val="auto"/>
          <w:sz w:val="32"/>
          <w:szCs w:val="32"/>
        </w:rPr>
        <w:t>20</w:t>
      </w:r>
      <w:r>
        <w:rPr>
          <w:rFonts w:hint="eastAsia" w:ascii="仿宋_GB2312" w:hAnsi="宋体" w:eastAsia="仿宋_GB2312" w:cs="仿宋_GB2312"/>
          <w:color w:val="auto"/>
          <w:sz w:val="32"/>
          <w:szCs w:val="32"/>
        </w:rPr>
        <w:t>21〕102号）的相关规定组织实施，做到阳光操作，确保招标工作公平、公正、公开。</w:t>
      </w:r>
    </w:p>
    <w:p>
      <w:pPr>
        <w:keepNext w:val="0"/>
        <w:keepLines w:val="0"/>
        <w:pageBreakBefore w:val="0"/>
        <w:kinsoku/>
        <w:wordWrap/>
        <w:overflowPunct/>
        <w:topLinePunct w:val="0"/>
        <w:autoSpaceDE/>
        <w:autoSpaceDN/>
        <w:bidi w:val="0"/>
        <w:adjustRightInd/>
        <w:snapToGrid/>
        <w:spacing w:line="560" w:lineRule="exact"/>
        <w:ind w:firstLine="643" w:firstLineChars="200"/>
        <w:outlineLvl w:val="9"/>
        <w:rPr>
          <w:rFonts w:ascii="楷体_GB2312" w:hAnsi="宋体" w:eastAsia="楷体_GB2312"/>
          <w:b/>
          <w:bCs/>
          <w:color w:val="auto"/>
          <w:sz w:val="32"/>
          <w:szCs w:val="32"/>
        </w:rPr>
      </w:pPr>
      <w:r>
        <w:rPr>
          <w:rFonts w:hint="eastAsia" w:ascii="楷体_GB2312" w:hAnsi="宋体" w:eastAsia="楷体_GB2312" w:cs="楷体_GB2312"/>
          <w:b/>
          <w:bCs/>
          <w:color w:val="auto"/>
          <w:sz w:val="32"/>
          <w:szCs w:val="32"/>
        </w:rPr>
        <w:t>（三）项目实施</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ascii="仿宋_GB2312" w:eastAsia="仿宋_GB2312"/>
          <w:color w:val="auto"/>
          <w:sz w:val="32"/>
          <w:szCs w:val="32"/>
        </w:rPr>
      </w:pPr>
      <w:r>
        <w:rPr>
          <w:rFonts w:hint="eastAsia" w:ascii="仿宋_GB2312" w:hAnsi="宋体" w:eastAsia="仿宋_GB2312" w:cs="仿宋_GB2312"/>
          <w:color w:val="auto"/>
          <w:sz w:val="32"/>
          <w:szCs w:val="32"/>
        </w:rPr>
        <w:t>下达项目要严格按照批准后的实施计划、工程内容、投资预算等内容实施，不得擅自对建设内容进行调整变更。</w:t>
      </w:r>
    </w:p>
    <w:p>
      <w:pPr>
        <w:keepNext w:val="0"/>
        <w:keepLines w:val="0"/>
        <w:pageBreakBefore w:val="0"/>
        <w:kinsoku/>
        <w:wordWrap/>
        <w:overflowPunct/>
        <w:topLinePunct w:val="0"/>
        <w:autoSpaceDE/>
        <w:autoSpaceDN/>
        <w:bidi w:val="0"/>
        <w:adjustRightInd/>
        <w:snapToGrid/>
        <w:spacing w:line="560" w:lineRule="exact"/>
        <w:ind w:firstLine="643" w:firstLineChars="200"/>
        <w:outlineLvl w:val="9"/>
        <w:rPr>
          <w:rFonts w:ascii="楷体_GB2312" w:eastAsia="楷体_GB2312"/>
          <w:b/>
          <w:bCs/>
          <w:color w:val="auto"/>
          <w:sz w:val="32"/>
          <w:szCs w:val="32"/>
        </w:rPr>
      </w:pPr>
      <w:r>
        <w:rPr>
          <w:rFonts w:hint="eastAsia" w:ascii="楷体_GB2312" w:hAnsi="宋体" w:eastAsia="楷体_GB2312" w:cs="楷体_GB2312"/>
          <w:b/>
          <w:bCs/>
          <w:color w:val="auto"/>
          <w:sz w:val="32"/>
          <w:szCs w:val="32"/>
        </w:rPr>
        <w:t>（四）项目验收</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ascii="仿宋_GB2312" w:eastAsia="仿宋_GB2312"/>
          <w:color w:val="auto"/>
          <w:sz w:val="32"/>
          <w:szCs w:val="32"/>
        </w:rPr>
      </w:pPr>
      <w:r>
        <w:rPr>
          <w:rFonts w:hint="eastAsia" w:ascii="仿宋_GB2312" w:hAnsi="宋体" w:eastAsia="仿宋_GB2312" w:cs="仿宋_GB2312"/>
          <w:color w:val="auto"/>
          <w:sz w:val="32"/>
          <w:szCs w:val="32"/>
        </w:rPr>
        <w:t>工程竣工后，要及时组织验收。由项目建设单位组织参建单位对工程逐项进行自验，对隐蔽工程等薄弱环节要进行重点验收。自验合格后向县巩固衔接办提出验收申请，由县巩固衔接办组织相关部门统一对全县农村饮水安全工程进行验收。</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ascii="黑体" w:hAnsi="黑体" w:eastAsia="黑体"/>
          <w:color w:val="auto"/>
          <w:sz w:val="32"/>
          <w:szCs w:val="32"/>
        </w:rPr>
      </w:pPr>
      <w:r>
        <w:rPr>
          <w:rFonts w:hint="eastAsia" w:ascii="黑体" w:hAnsi="黑体" w:eastAsia="黑体" w:cs="黑体"/>
          <w:color w:val="auto"/>
          <w:sz w:val="32"/>
          <w:szCs w:val="32"/>
        </w:rPr>
        <w:t>七、建后管理情况</w:t>
      </w:r>
    </w:p>
    <w:p>
      <w:pPr>
        <w:keepNext w:val="0"/>
        <w:keepLines w:val="0"/>
        <w:pageBreakBefore w:val="0"/>
        <w:kinsoku/>
        <w:wordWrap/>
        <w:overflowPunct/>
        <w:topLinePunct w:val="0"/>
        <w:autoSpaceDE/>
        <w:autoSpaceDN/>
        <w:bidi w:val="0"/>
        <w:adjustRightInd/>
        <w:snapToGrid/>
        <w:spacing w:line="560" w:lineRule="exact"/>
        <w:ind w:firstLine="643" w:firstLineChars="200"/>
        <w:outlineLvl w:val="9"/>
        <w:rPr>
          <w:rFonts w:ascii="楷体_GB2312" w:eastAsia="楷体_GB2312"/>
          <w:b/>
          <w:bCs/>
          <w:color w:val="auto"/>
          <w:sz w:val="32"/>
          <w:szCs w:val="32"/>
        </w:rPr>
      </w:pPr>
      <w:r>
        <w:rPr>
          <w:rFonts w:hint="eastAsia" w:ascii="楷体_GB2312" w:hAnsi="宋体" w:eastAsia="楷体_GB2312" w:cs="楷体_GB2312"/>
          <w:b/>
          <w:bCs/>
          <w:color w:val="auto"/>
          <w:sz w:val="32"/>
          <w:szCs w:val="32"/>
        </w:rPr>
        <w:t>（一）权属认定</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ascii="仿宋_GB2312" w:eastAsia="仿宋_GB2312"/>
          <w:color w:val="auto"/>
          <w:sz w:val="32"/>
          <w:szCs w:val="32"/>
        </w:rPr>
      </w:pPr>
      <w:r>
        <w:rPr>
          <w:rFonts w:hint="eastAsia" w:ascii="仿宋_GB2312" w:hAnsi="宋体" w:eastAsia="仿宋_GB2312" w:cs="仿宋_GB2312"/>
          <w:color w:val="auto"/>
          <w:sz w:val="32"/>
          <w:szCs w:val="32"/>
        </w:rPr>
        <w:t>农村饮水安全项目建设资金扶贫专项资金、整合资金等国家投资，产权归国家所有。</w:t>
      </w:r>
    </w:p>
    <w:p>
      <w:pPr>
        <w:keepNext w:val="0"/>
        <w:keepLines w:val="0"/>
        <w:pageBreakBefore w:val="0"/>
        <w:kinsoku/>
        <w:wordWrap/>
        <w:overflowPunct/>
        <w:topLinePunct w:val="0"/>
        <w:autoSpaceDE/>
        <w:autoSpaceDN/>
        <w:bidi w:val="0"/>
        <w:adjustRightInd/>
        <w:snapToGrid/>
        <w:spacing w:line="560" w:lineRule="exact"/>
        <w:ind w:firstLine="643" w:firstLineChars="200"/>
        <w:outlineLvl w:val="9"/>
        <w:rPr>
          <w:rFonts w:ascii="楷体_GB2312" w:hAnsi="宋体" w:eastAsia="楷体_GB2312"/>
          <w:b/>
          <w:bCs/>
          <w:color w:val="auto"/>
          <w:sz w:val="32"/>
          <w:szCs w:val="32"/>
        </w:rPr>
      </w:pPr>
      <w:r>
        <w:rPr>
          <w:rFonts w:hint="eastAsia" w:ascii="楷体_GB2312" w:hAnsi="宋体" w:eastAsia="楷体_GB2312" w:cs="楷体_GB2312"/>
          <w:b/>
          <w:bCs/>
          <w:color w:val="auto"/>
          <w:sz w:val="32"/>
          <w:szCs w:val="32"/>
        </w:rPr>
        <w:t>（二）资产移交</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ascii="仿宋_GB2312" w:eastAsia="仿宋_GB2312"/>
          <w:color w:val="auto"/>
          <w:sz w:val="32"/>
          <w:szCs w:val="32"/>
        </w:rPr>
      </w:pPr>
      <w:r>
        <w:rPr>
          <w:rFonts w:hint="eastAsia" w:ascii="仿宋_GB2312" w:hAnsi="宋体" w:eastAsia="仿宋_GB2312" w:cs="仿宋_GB2312"/>
          <w:color w:val="auto"/>
          <w:sz w:val="32"/>
          <w:szCs w:val="32"/>
        </w:rPr>
        <w:t>国家投资修建农村饮水安全工程，工程竣工验收后，经营权移交工程所在地政府组织的用水协会等机构自行经营管理，移交手续报当地政府和县水利局备案。工程移交要制作移交清单，移交单位、接收单位、见证机关都要派员参加并签字确认。</w:t>
      </w:r>
    </w:p>
    <w:p>
      <w:pPr>
        <w:keepNext w:val="0"/>
        <w:keepLines w:val="0"/>
        <w:pageBreakBefore w:val="0"/>
        <w:kinsoku/>
        <w:wordWrap/>
        <w:overflowPunct/>
        <w:topLinePunct w:val="0"/>
        <w:autoSpaceDE/>
        <w:autoSpaceDN/>
        <w:bidi w:val="0"/>
        <w:adjustRightInd/>
        <w:snapToGrid/>
        <w:spacing w:line="560" w:lineRule="exact"/>
        <w:ind w:firstLine="643" w:firstLineChars="200"/>
        <w:outlineLvl w:val="9"/>
        <w:rPr>
          <w:rFonts w:ascii="楷体_GB2312" w:hAnsi="宋体" w:eastAsia="楷体_GB2312"/>
          <w:b/>
          <w:bCs/>
          <w:color w:val="auto"/>
          <w:sz w:val="32"/>
          <w:szCs w:val="32"/>
        </w:rPr>
      </w:pPr>
      <w:r>
        <w:rPr>
          <w:rFonts w:hint="eastAsia" w:ascii="楷体_GB2312" w:hAnsi="宋体" w:eastAsia="楷体_GB2312" w:cs="楷体_GB2312"/>
          <w:b/>
          <w:bCs/>
          <w:color w:val="auto"/>
          <w:sz w:val="32"/>
          <w:szCs w:val="32"/>
        </w:rPr>
        <w:t>（三）经营管理</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农村供水工程，由所在地镇政府按照相关法律规定，指导各行政村（社区）组建供水用水协会进行经营，协会负责日常供水的运行和水质安全的监管。农村供水协会要在当地镇政府的指导下，建立完善财务管理、水质检验、岗位责任、定期养护等管理制度。各镇要明确</w:t>
      </w:r>
      <w:r>
        <w:rPr>
          <w:rFonts w:ascii="仿宋_GB2312" w:hAnsi="宋体" w:eastAsia="仿宋_GB2312" w:cs="仿宋_GB2312"/>
          <w:color w:val="auto"/>
          <w:sz w:val="32"/>
          <w:szCs w:val="32"/>
        </w:rPr>
        <w:t>2-3</w:t>
      </w:r>
      <w:r>
        <w:rPr>
          <w:rFonts w:hint="eastAsia" w:ascii="仿宋_GB2312" w:hAnsi="宋体" w:eastAsia="仿宋_GB2312" w:cs="仿宋_GB2312"/>
          <w:color w:val="auto"/>
          <w:sz w:val="32"/>
          <w:szCs w:val="32"/>
        </w:rPr>
        <w:t>名专兼职水利岗位管理人员，负责全镇水利设施建设、管理、运营、维护、产权改革等工作，并接受县水利部门的指导和业务培训。</w:t>
      </w:r>
    </w:p>
    <w:p>
      <w:pPr>
        <w:keepNext w:val="0"/>
        <w:keepLines w:val="0"/>
        <w:pageBreakBefore w:val="0"/>
        <w:kinsoku/>
        <w:wordWrap/>
        <w:overflowPunct/>
        <w:topLinePunct w:val="0"/>
        <w:autoSpaceDE/>
        <w:autoSpaceDN/>
        <w:bidi w:val="0"/>
        <w:adjustRightInd/>
        <w:snapToGrid/>
        <w:spacing w:line="560" w:lineRule="exact"/>
        <w:ind w:firstLine="640" w:firstLineChars="200"/>
        <w:outlineLvl w:val="9"/>
        <w:rPr>
          <w:color w:val="auto"/>
        </w:rPr>
      </w:pPr>
      <w:r>
        <w:rPr>
          <w:rFonts w:hint="eastAsia" w:ascii="仿宋_GB2312" w:hAnsi="宋体" w:eastAsia="仿宋_GB2312" w:cs="仿宋_GB2312"/>
          <w:color w:val="auto"/>
          <w:sz w:val="32"/>
          <w:szCs w:val="32"/>
        </w:rPr>
        <w:t>集镇供水工程（除麻柳集镇、洄水集镇、界岭集镇供水工程以外），其他集镇供水工程由县水务集团有限公司负责运营管理，并建立完善财务管理、水质检验、岗位责任、定期养护等管理制度，同时接受镇政府和县水利部门的监督指导。</w:t>
      </w:r>
    </w:p>
    <w:sectPr>
      <w:footerReference r:id="rId3" w:type="default"/>
      <w:pgSz w:w="11906" w:h="16838"/>
      <w:pgMar w:top="2098" w:right="1699" w:bottom="1984" w:left="1587" w:header="851" w:footer="1588"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left="315" w:leftChars="150" w:right="315" w:rightChars="150"/>
      <w:rPr>
        <w:rStyle w:val="5"/>
        <w:rFonts w:ascii="宋体" w:cs="宋体"/>
        <w:sz w:val="28"/>
        <w:szCs w:val="28"/>
      </w:rPr>
    </w:pPr>
    <w:r>
      <w:rPr>
        <w:rStyle w:val="5"/>
        <w:rFonts w:ascii="宋体" w:hAnsi="宋体" w:cs="宋体"/>
        <w:sz w:val="28"/>
        <w:szCs w:val="28"/>
      </w:rPr>
      <w:fldChar w:fldCharType="begin"/>
    </w:r>
    <w:r>
      <w:rPr>
        <w:rStyle w:val="5"/>
        <w:rFonts w:ascii="宋体" w:hAnsi="宋体" w:cs="宋体"/>
        <w:sz w:val="28"/>
        <w:szCs w:val="28"/>
      </w:rPr>
      <w:instrText xml:space="preserve">PAGE  </w:instrText>
    </w:r>
    <w:r>
      <w:rPr>
        <w:rStyle w:val="5"/>
        <w:rFonts w:ascii="宋体" w:hAnsi="宋体" w:cs="宋体"/>
        <w:sz w:val="28"/>
        <w:szCs w:val="28"/>
      </w:rPr>
      <w:fldChar w:fldCharType="separate"/>
    </w:r>
    <w:r>
      <w:rPr>
        <w:rStyle w:val="5"/>
        <w:rFonts w:ascii="宋体" w:hAnsi="宋体" w:cs="宋体"/>
        <w:sz w:val="28"/>
        <w:szCs w:val="28"/>
      </w:rPr>
      <w:t>- 4 -</w:t>
    </w:r>
    <w:r>
      <w:rPr>
        <w:rStyle w:val="5"/>
        <w:rFonts w:ascii="宋体" w:hAnsi="宋体" w:cs="宋体"/>
        <w:sz w:val="28"/>
        <w:szCs w:val="28"/>
      </w:rPr>
      <w:fldChar w:fldCharType="end"/>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79D0C6"/>
    <w:multiLevelType w:val="singleLevel"/>
    <w:tmpl w:val="8B79D0C6"/>
    <w:lvl w:ilvl="0" w:tentative="0">
      <w:start w:val="2"/>
      <w:numFmt w:val="decimal"/>
      <w:suff w:val="nothing"/>
      <w:lvlText w:val="%1、"/>
      <w:lvlJc w:val="left"/>
    </w:lvl>
  </w:abstractNum>
  <w:abstractNum w:abstractNumId="1">
    <w:nsid w:val="C642544A"/>
    <w:multiLevelType w:val="singleLevel"/>
    <w:tmpl w:val="C642544A"/>
    <w:lvl w:ilvl="0" w:tentative="0">
      <w:start w:val="2"/>
      <w:numFmt w:val="decimal"/>
      <w:suff w:val="nothing"/>
      <w:lvlText w:val="（%1）"/>
      <w:lvlJc w:val="left"/>
    </w:lvl>
  </w:abstractNum>
  <w:abstractNum w:abstractNumId="2">
    <w:nsid w:val="78C602D4"/>
    <w:multiLevelType w:val="singleLevel"/>
    <w:tmpl w:val="78C602D4"/>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FlY2NmYjg2NzE0OTE5Zjg2Y2FhODVjOWU1ZTM5ZGUifQ=="/>
  </w:docVars>
  <w:rsids>
    <w:rsidRoot w:val="37BB33E1"/>
    <w:rsid w:val="0005359A"/>
    <w:rsid w:val="001D52D2"/>
    <w:rsid w:val="00412BD4"/>
    <w:rsid w:val="00F36ACF"/>
    <w:rsid w:val="05B2719F"/>
    <w:rsid w:val="09324FA3"/>
    <w:rsid w:val="0B990B20"/>
    <w:rsid w:val="0E610A4B"/>
    <w:rsid w:val="0F752E4B"/>
    <w:rsid w:val="11E94D98"/>
    <w:rsid w:val="1D2817F9"/>
    <w:rsid w:val="22794E74"/>
    <w:rsid w:val="25F5754D"/>
    <w:rsid w:val="294C57C1"/>
    <w:rsid w:val="2D8B699A"/>
    <w:rsid w:val="2F9B29CB"/>
    <w:rsid w:val="33F45BBD"/>
    <w:rsid w:val="37BB33E1"/>
    <w:rsid w:val="3A123100"/>
    <w:rsid w:val="46C222AA"/>
    <w:rsid w:val="47AA76FA"/>
    <w:rsid w:val="4B69727E"/>
    <w:rsid w:val="4DB5526E"/>
    <w:rsid w:val="4EAD5D22"/>
    <w:rsid w:val="4ED07129"/>
    <w:rsid w:val="50EB6804"/>
    <w:rsid w:val="53B37937"/>
    <w:rsid w:val="559F4616"/>
    <w:rsid w:val="5758380D"/>
    <w:rsid w:val="5A423EC4"/>
    <w:rsid w:val="5ECA1FD8"/>
    <w:rsid w:val="5FB40CBE"/>
    <w:rsid w:val="63065CD5"/>
    <w:rsid w:val="63934ED3"/>
    <w:rsid w:val="665A0FA3"/>
    <w:rsid w:val="68DF5DD7"/>
    <w:rsid w:val="73683E42"/>
    <w:rsid w:val="7C1120EB"/>
    <w:rsid w:val="7C3203FC"/>
    <w:rsid w:val="7F1A7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99"/>
  </w:style>
  <w:style w:type="paragraph" w:styleId="7">
    <w:name w:val="List Paragraph"/>
    <w:basedOn w:val="1"/>
    <w:qFormat/>
    <w:uiPriority w:val="99"/>
    <w:pPr>
      <w:ind w:firstLine="420" w:firstLineChars="200"/>
    </w:pPr>
  </w:style>
  <w:style w:type="character" w:customStyle="1" w:styleId="8">
    <w:name w:val="页眉 Char"/>
    <w:basedOn w:val="4"/>
    <w:link w:val="3"/>
    <w:qFormat/>
    <w:uiPriority w:val="0"/>
    <w:rPr>
      <w:rFonts w:ascii="Calibri" w:hAnsi="Calibri" w:cs="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shl</Company>
  <Pages>8</Pages>
  <Words>3195</Words>
  <Characters>3586</Characters>
  <Lines>26</Lines>
  <Paragraphs>7</Paragraphs>
  <TotalTime>58</TotalTime>
  <ScaleCrop>false</ScaleCrop>
  <LinksUpToDate>false</LinksUpToDate>
  <CharactersWithSpaces>3604</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2022-05-31T06:18:00Z</dcterms:created>
  <dc:creator>十方</dc:creator>
  <cp:lastModifiedBy>-暖了夏天蓝了海`</cp:lastModifiedBy>
  <dcterms:modified xsi:type="dcterms:W3CDTF">2022-06-08T08:10:44Z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C6F5C6859ABC4B38B90830E6B5FE8BA9</vt:lpwstr>
  </property>
</Properties>
</file>